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21AB6" w14:textId="4D101507" w:rsidR="00186592" w:rsidRDefault="009F7A9B" w:rsidP="00186592">
      <w:pPr>
        <w:spacing w:line="660" w:lineRule="exact"/>
        <w:rPr>
          <w:rFonts w:eastAsia="Calibri" w:cs="Arial"/>
          <w:b/>
          <w:bCs w:val="0"/>
          <w:color w:val="5B9BD5" w:themeColor="accent1"/>
          <w:sz w:val="60"/>
          <w:szCs w:val="22"/>
        </w:rPr>
      </w:pPr>
      <w:bookmarkStart w:id="0" w:name="_Toc509468202"/>
      <w:bookmarkStart w:id="1" w:name="_Toc510797702"/>
      <w:r w:rsidRPr="00032CF3">
        <w:rPr>
          <w:rFonts w:cs="Arial"/>
          <w:noProof/>
          <w:lang w:eastAsia="en-GB"/>
        </w:rPr>
        <w:drawing>
          <wp:anchor distT="0" distB="0" distL="114300" distR="114300" simplePos="0" relativeHeight="251659264" behindDoc="0" locked="0" layoutInCell="1" allowOverlap="1" wp14:anchorId="353AF235" wp14:editId="7D039D7C">
            <wp:simplePos x="0" y="0"/>
            <wp:positionH relativeFrom="margin">
              <wp:align>right</wp:align>
            </wp:positionH>
            <wp:positionV relativeFrom="margin">
              <wp:align>top</wp:align>
            </wp:positionV>
            <wp:extent cx="799950" cy="360000"/>
            <wp:effectExtent l="0" t="0" r="63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12"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F93680" w14:textId="2AAC8419" w:rsidR="008009DF" w:rsidRDefault="008009DF" w:rsidP="00186592">
      <w:pPr>
        <w:spacing w:line="660" w:lineRule="exact"/>
        <w:rPr>
          <w:rFonts w:eastAsia="Calibri" w:cs="Arial"/>
          <w:b/>
          <w:bCs w:val="0"/>
          <w:color w:val="5B9BD5" w:themeColor="accent1"/>
          <w:sz w:val="60"/>
          <w:szCs w:val="22"/>
        </w:rPr>
      </w:pPr>
    </w:p>
    <w:p w14:paraId="37548461" w14:textId="40675A26" w:rsidR="008009DF" w:rsidRDefault="008009DF" w:rsidP="00186592">
      <w:pPr>
        <w:spacing w:line="660" w:lineRule="exact"/>
        <w:rPr>
          <w:rFonts w:eastAsia="Calibri" w:cs="Arial"/>
          <w:b/>
          <w:bCs w:val="0"/>
          <w:color w:val="5B9BD5" w:themeColor="accent1"/>
          <w:sz w:val="60"/>
          <w:szCs w:val="22"/>
        </w:rPr>
      </w:pPr>
    </w:p>
    <w:p w14:paraId="57FA46A2" w14:textId="3341C603" w:rsidR="008009DF" w:rsidRPr="00032CF3" w:rsidRDefault="008009DF" w:rsidP="00186592">
      <w:pPr>
        <w:spacing w:line="660" w:lineRule="exact"/>
        <w:rPr>
          <w:rFonts w:eastAsia="Calibri" w:cs="Arial"/>
          <w:b/>
          <w:bCs w:val="0"/>
          <w:color w:val="5B9BD5" w:themeColor="accent1"/>
          <w:sz w:val="60"/>
          <w:szCs w:val="22"/>
        </w:rPr>
      </w:pPr>
    </w:p>
    <w:p w14:paraId="75077149" w14:textId="77777777" w:rsidR="00186592" w:rsidRPr="00032CF3" w:rsidRDefault="00186592" w:rsidP="00186592">
      <w:pPr>
        <w:spacing w:line="660" w:lineRule="exact"/>
        <w:rPr>
          <w:rFonts w:eastAsia="Calibri" w:cs="Arial"/>
          <w:b/>
          <w:bCs w:val="0"/>
          <w:color w:val="5B9BD5" w:themeColor="accent1"/>
          <w:sz w:val="60"/>
          <w:szCs w:val="22"/>
        </w:rPr>
      </w:pPr>
    </w:p>
    <w:p w14:paraId="3991EE10" w14:textId="77777777" w:rsidR="00186592" w:rsidRPr="00032CF3" w:rsidRDefault="00186592" w:rsidP="00186592">
      <w:pPr>
        <w:spacing w:line="660" w:lineRule="exact"/>
        <w:rPr>
          <w:rFonts w:eastAsia="Calibri" w:cs="Arial"/>
          <w:b/>
          <w:bCs w:val="0"/>
          <w:color w:val="5B9BD5" w:themeColor="accent1"/>
          <w:sz w:val="96"/>
          <w:szCs w:val="22"/>
        </w:rPr>
      </w:pPr>
    </w:p>
    <w:p w14:paraId="2E66AF0F" w14:textId="3A904E13" w:rsidR="00186592" w:rsidRPr="00032CF3" w:rsidRDefault="001F4D2D" w:rsidP="00186592">
      <w:pPr>
        <w:spacing w:line="660" w:lineRule="exact"/>
        <w:rPr>
          <w:rFonts w:eastAsia="Calibri" w:cs="Arial"/>
          <w:b/>
          <w:color w:val="005EB8"/>
          <w:sz w:val="72"/>
          <w:szCs w:val="72"/>
        </w:rPr>
      </w:pPr>
      <w:r w:rsidRPr="00032CF3">
        <w:rPr>
          <w:rFonts w:eastAsia="Calibri" w:cs="Arial"/>
          <w:b/>
          <w:color w:val="005EB8"/>
          <w:sz w:val="72"/>
          <w:szCs w:val="72"/>
        </w:rPr>
        <w:t>Local Health</w:t>
      </w:r>
      <w:r w:rsidR="00F40E8D">
        <w:rPr>
          <w:rFonts w:eastAsia="Calibri" w:cs="Arial"/>
          <w:b/>
          <w:color w:val="005EB8"/>
          <w:sz w:val="72"/>
          <w:szCs w:val="72"/>
        </w:rPr>
        <w:t xml:space="preserve"> and</w:t>
      </w:r>
      <w:r w:rsidRPr="00032CF3">
        <w:rPr>
          <w:rFonts w:eastAsia="Calibri" w:cs="Arial"/>
          <w:b/>
          <w:color w:val="005EB8"/>
          <w:sz w:val="72"/>
          <w:szCs w:val="72"/>
        </w:rPr>
        <w:t xml:space="preserve"> Care Records</w:t>
      </w:r>
    </w:p>
    <w:p w14:paraId="3456A4B9" w14:textId="77777777" w:rsidR="00186592" w:rsidRDefault="00186592" w:rsidP="00186592">
      <w:pPr>
        <w:rPr>
          <w:rFonts w:cs="Arial"/>
          <w:b/>
          <w:color w:val="7C2855"/>
          <w:sz w:val="56"/>
          <w:szCs w:val="72"/>
        </w:rPr>
      </w:pPr>
      <w:r w:rsidRPr="00032CF3">
        <w:rPr>
          <w:rFonts w:cs="Arial"/>
          <w:b/>
          <w:color w:val="7C2855"/>
          <w:sz w:val="56"/>
          <w:szCs w:val="72"/>
        </w:rPr>
        <w:t xml:space="preserve">Information Governance Framework for Integrated Health and Care </w:t>
      </w:r>
    </w:p>
    <w:p w14:paraId="7AFA119D" w14:textId="77777777" w:rsidR="005A75FF" w:rsidRPr="005A75FF" w:rsidRDefault="005A75FF" w:rsidP="005A75FF">
      <w:pPr>
        <w:rPr>
          <w:rFonts w:cs="Arial"/>
          <w:b/>
          <w:color w:val="7C2855"/>
          <w:sz w:val="48"/>
          <w:szCs w:val="72"/>
        </w:rPr>
      </w:pPr>
      <w:r w:rsidRPr="005A75FF">
        <w:rPr>
          <w:rFonts w:cs="Arial"/>
          <w:b/>
          <w:color w:val="7C2855"/>
          <w:sz w:val="48"/>
          <w:szCs w:val="72"/>
        </w:rPr>
        <w:t>(Assurance version for journey 1 only</w:t>
      </w:r>
      <w:r w:rsidR="00F54AB6">
        <w:rPr>
          <w:rFonts w:cs="Arial"/>
          <w:b/>
          <w:color w:val="7C2855"/>
          <w:sz w:val="48"/>
          <w:szCs w:val="72"/>
        </w:rPr>
        <w:t xml:space="preserve"> - updated</w:t>
      </w:r>
      <w:r w:rsidRPr="005A75FF">
        <w:rPr>
          <w:rFonts w:cs="Arial"/>
          <w:b/>
          <w:color w:val="7C2855"/>
          <w:sz w:val="48"/>
          <w:szCs w:val="72"/>
        </w:rPr>
        <w:t>)</w:t>
      </w:r>
    </w:p>
    <w:p w14:paraId="6682AE04" w14:textId="77777777" w:rsidR="00186592" w:rsidRPr="00032CF3" w:rsidRDefault="00186592" w:rsidP="00186592">
      <w:pPr>
        <w:rPr>
          <w:rFonts w:cs="Arial"/>
          <w:b/>
          <w:dstrike/>
          <w:color w:val="A00054"/>
          <w:sz w:val="40"/>
          <w:szCs w:val="40"/>
        </w:rPr>
      </w:pPr>
    </w:p>
    <w:p w14:paraId="3E5AC491" w14:textId="77777777" w:rsidR="00186592" w:rsidRPr="00032CF3" w:rsidRDefault="00186592" w:rsidP="00186592">
      <w:pPr>
        <w:rPr>
          <w:rFonts w:cs="Arial"/>
          <w:b/>
          <w:color w:val="A00054"/>
          <w:sz w:val="40"/>
          <w:szCs w:val="40"/>
        </w:rPr>
      </w:pPr>
    </w:p>
    <w:p w14:paraId="3B33C4D8" w14:textId="77777777" w:rsidR="00186592" w:rsidRPr="00032CF3" w:rsidRDefault="00186592" w:rsidP="00186592">
      <w:pPr>
        <w:rPr>
          <w:rFonts w:cs="Arial"/>
          <w:b/>
          <w:color w:val="A00054"/>
          <w:sz w:val="40"/>
          <w:szCs w:val="40"/>
        </w:rPr>
      </w:pPr>
    </w:p>
    <w:p w14:paraId="4C1367F6" w14:textId="77777777" w:rsidR="00186592" w:rsidRPr="00032CF3" w:rsidRDefault="00186592" w:rsidP="00186592">
      <w:pPr>
        <w:rPr>
          <w:rFonts w:cs="Arial"/>
        </w:rPr>
      </w:pPr>
    </w:p>
    <w:p w14:paraId="1F882BE0" w14:textId="77777777" w:rsidR="00186592" w:rsidRPr="00032CF3" w:rsidRDefault="00186592" w:rsidP="00186592">
      <w:pPr>
        <w:rPr>
          <w:rFonts w:cs="Arial"/>
        </w:rPr>
      </w:pPr>
    </w:p>
    <w:p w14:paraId="4607EC3E" w14:textId="77777777" w:rsidR="00186592" w:rsidRPr="00032CF3" w:rsidRDefault="00186592" w:rsidP="00186592">
      <w:pPr>
        <w:rPr>
          <w:rFonts w:cs="Arial"/>
        </w:rPr>
      </w:pPr>
    </w:p>
    <w:p w14:paraId="38FEE562" w14:textId="77777777" w:rsidR="00314E3B" w:rsidRPr="00032CF3" w:rsidRDefault="00314E3B" w:rsidP="00186592">
      <w:pPr>
        <w:rPr>
          <w:rFonts w:cs="Arial"/>
        </w:rPr>
      </w:pPr>
    </w:p>
    <w:p w14:paraId="25B2B8CB" w14:textId="149B10E8" w:rsidR="00314E3B" w:rsidRDefault="00314E3B" w:rsidP="00186592">
      <w:pPr>
        <w:rPr>
          <w:rFonts w:cs="Arial"/>
        </w:rPr>
      </w:pPr>
    </w:p>
    <w:p w14:paraId="1BE46129" w14:textId="77777777" w:rsidR="00300F43" w:rsidRDefault="00300F43" w:rsidP="00186592">
      <w:pPr>
        <w:rPr>
          <w:rFonts w:cs="Arial"/>
        </w:rPr>
      </w:pPr>
    </w:p>
    <w:p w14:paraId="54681591" w14:textId="77777777" w:rsidR="00FF258A" w:rsidRDefault="00FF258A" w:rsidP="00186592">
      <w:pPr>
        <w:rPr>
          <w:rFonts w:cs="Arial"/>
        </w:rPr>
      </w:pPr>
    </w:p>
    <w:p w14:paraId="38104301" w14:textId="77777777" w:rsidR="00FF258A" w:rsidRPr="00032CF3" w:rsidRDefault="00FF258A" w:rsidP="00186592">
      <w:pPr>
        <w:rPr>
          <w:rFonts w:cs="Arial"/>
        </w:rPr>
      </w:pPr>
    </w:p>
    <w:p w14:paraId="62E74358" w14:textId="77777777" w:rsidR="005A75FF" w:rsidRDefault="005A75FF" w:rsidP="00B6350B">
      <w:pPr>
        <w:jc w:val="center"/>
        <w:rPr>
          <w:rFonts w:cs="Arial"/>
          <w:b/>
          <w:bCs w:val="0"/>
        </w:rPr>
      </w:pPr>
    </w:p>
    <w:p w14:paraId="5D0F79D5" w14:textId="77777777" w:rsidR="00314E3B" w:rsidRPr="00FF258A" w:rsidRDefault="00314E3B" w:rsidP="00B6350B">
      <w:pPr>
        <w:jc w:val="center"/>
        <w:rPr>
          <w:rFonts w:cs="Arial"/>
          <w:b/>
          <w:bCs w:val="0"/>
          <w:sz w:val="22"/>
        </w:rPr>
      </w:pPr>
      <w:r w:rsidRPr="00FF258A">
        <w:rPr>
          <w:rFonts w:cs="Arial"/>
          <w:noProof/>
          <w:sz w:val="22"/>
          <w:lang w:val="en-US"/>
        </w:rPr>
        <w:drawing>
          <wp:anchor distT="0" distB="0" distL="114300" distR="114300" simplePos="0" relativeHeight="251657216" behindDoc="1" locked="0" layoutInCell="1" allowOverlap="1" wp14:anchorId="0A23D676" wp14:editId="1BE73134">
            <wp:simplePos x="0" y="0"/>
            <wp:positionH relativeFrom="margin">
              <wp:posOffset>1051560</wp:posOffset>
            </wp:positionH>
            <wp:positionV relativeFrom="paragraph">
              <wp:posOffset>175260</wp:posOffset>
            </wp:positionV>
            <wp:extent cx="4152900" cy="251460"/>
            <wp:effectExtent l="0" t="0" r="0" b="0"/>
            <wp:wrapTight wrapText="bothSides">
              <wp:wrapPolygon edited="0">
                <wp:start x="0" y="0"/>
                <wp:lineTo x="0" y="19636"/>
                <wp:lineTo x="21501" y="19636"/>
                <wp:lineTo x="21501" y="0"/>
                <wp:lineTo x="0" y="0"/>
              </wp:wrapPolygon>
            </wp:wrapTight>
            <wp:docPr id="7" name="Picture 7" descr="cid:image002.png@01D4D8D2.62F3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4D8D2.62F3708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15290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B6350B" w:rsidRPr="00FF258A">
        <w:rPr>
          <w:rFonts w:cs="Arial"/>
          <w:b/>
          <w:bCs w:val="0"/>
          <w:sz w:val="22"/>
        </w:rPr>
        <w:t>NHS England and NHS Improvement</w:t>
      </w:r>
    </w:p>
    <w:p w14:paraId="66D25AF6" w14:textId="77777777" w:rsidR="009144AF" w:rsidRDefault="009144AF">
      <w:pPr>
        <w:spacing w:before="0" w:after="160" w:line="259" w:lineRule="auto"/>
        <w:rPr>
          <w:rFonts w:cs="Arial"/>
          <w:b/>
          <w:sz w:val="32"/>
          <w:szCs w:val="32"/>
        </w:rPr>
        <w:sectPr w:rsidR="009144AF" w:rsidSect="0063595A">
          <w:headerReference w:type="even" r:id="rId15"/>
          <w:headerReference w:type="default" r:id="rId16"/>
          <w:footerReference w:type="default" r:id="rId17"/>
          <w:headerReference w:type="first" r:id="rId18"/>
          <w:pgSz w:w="11900" w:h="16840"/>
          <w:pgMar w:top="993" w:right="1127" w:bottom="709" w:left="993" w:header="0" w:footer="191" w:gutter="0"/>
          <w:cols w:space="708"/>
          <w:docGrid w:linePitch="326"/>
        </w:sectPr>
      </w:pPr>
    </w:p>
    <w:p w14:paraId="35C1CBAD" w14:textId="2EF881A2" w:rsidR="00280752" w:rsidRDefault="00280752">
      <w:pPr>
        <w:spacing w:before="0" w:after="160" w:line="259" w:lineRule="auto"/>
        <w:rPr>
          <w:rFonts w:cs="Arial"/>
          <w:b/>
          <w:sz w:val="32"/>
          <w:szCs w:val="32"/>
        </w:rPr>
      </w:pPr>
    </w:p>
    <w:p w14:paraId="66AF89E1" w14:textId="77777777" w:rsidR="00241D06" w:rsidRPr="00032CF3" w:rsidRDefault="00241D06" w:rsidP="00241D06">
      <w:pPr>
        <w:rPr>
          <w:rFonts w:cs="Arial"/>
          <w:b/>
          <w:sz w:val="32"/>
          <w:szCs w:val="32"/>
        </w:rPr>
      </w:pPr>
      <w:r w:rsidRPr="00032CF3">
        <w:rPr>
          <w:rFonts w:cs="Arial"/>
          <w:b/>
          <w:sz w:val="32"/>
          <w:szCs w:val="32"/>
        </w:rPr>
        <w:t>Information Governance Framework for Integrated Health and Care</w:t>
      </w:r>
      <w:r>
        <w:rPr>
          <w:rFonts w:cs="Arial"/>
          <w:b/>
          <w:sz w:val="32"/>
          <w:szCs w:val="32"/>
        </w:rPr>
        <w:t xml:space="preserve"> (Assurance version for journey 1 only</w:t>
      </w:r>
      <w:r w:rsidR="00F54AB6">
        <w:rPr>
          <w:rFonts w:cs="Arial"/>
          <w:b/>
          <w:sz w:val="32"/>
          <w:szCs w:val="32"/>
        </w:rPr>
        <w:t xml:space="preserve"> - updated</w:t>
      </w:r>
      <w:r>
        <w:rPr>
          <w:rFonts w:cs="Arial"/>
          <w:b/>
          <w:sz w:val="32"/>
          <w:szCs w:val="32"/>
        </w:rPr>
        <w:t>)</w:t>
      </w:r>
    </w:p>
    <w:p w14:paraId="77497B5D" w14:textId="77777777" w:rsidR="00241D06" w:rsidRPr="00032CF3" w:rsidRDefault="00241D06" w:rsidP="00241D06">
      <w:pPr>
        <w:rPr>
          <w:rFonts w:cs="Arial"/>
        </w:rPr>
      </w:pPr>
    </w:p>
    <w:p w14:paraId="590E9DF0" w14:textId="3C8367FD" w:rsidR="00241D06" w:rsidRPr="00032CF3" w:rsidRDefault="00241D06" w:rsidP="00241D06">
      <w:pPr>
        <w:rPr>
          <w:rFonts w:cs="Arial"/>
        </w:rPr>
      </w:pPr>
      <w:r w:rsidRPr="00032CF3">
        <w:rPr>
          <w:rFonts w:cs="Arial"/>
        </w:rPr>
        <w:t>Version number: v0.</w:t>
      </w:r>
      <w:r w:rsidR="00F54AB6">
        <w:rPr>
          <w:rFonts w:cs="Arial"/>
        </w:rPr>
        <w:t>9</w:t>
      </w:r>
      <w:r w:rsidR="004D3C3F">
        <w:rPr>
          <w:rFonts w:cs="Arial"/>
        </w:rPr>
        <w:t xml:space="preserve"> </w:t>
      </w:r>
      <w:r w:rsidR="00F54AB6">
        <w:rPr>
          <w:rFonts w:cs="Arial"/>
        </w:rPr>
        <w:t>–</w:t>
      </w:r>
      <w:r w:rsidR="004D3C3F">
        <w:rPr>
          <w:rFonts w:cs="Arial"/>
        </w:rPr>
        <w:t xml:space="preserve"> </w:t>
      </w:r>
      <w:r w:rsidR="00F54AB6">
        <w:rPr>
          <w:rFonts w:cs="Arial"/>
        </w:rPr>
        <w:t>31</w:t>
      </w:r>
      <w:r w:rsidR="00F54AB6" w:rsidRPr="002B3BE5">
        <w:rPr>
          <w:rFonts w:cs="Arial"/>
          <w:vertAlign w:val="superscript"/>
        </w:rPr>
        <w:t>st</w:t>
      </w:r>
      <w:r w:rsidR="00F54AB6">
        <w:rPr>
          <w:rFonts w:cs="Arial"/>
        </w:rPr>
        <w:t xml:space="preserve"> May </w:t>
      </w:r>
      <w:r w:rsidR="004D3C3F">
        <w:rPr>
          <w:rFonts w:cs="Arial"/>
        </w:rPr>
        <w:t>2019</w:t>
      </w:r>
    </w:p>
    <w:p w14:paraId="20CDE378" w14:textId="77777777" w:rsidR="00241D06" w:rsidRPr="00032CF3" w:rsidRDefault="00241D06" w:rsidP="00241D06">
      <w:pPr>
        <w:rPr>
          <w:rFonts w:cs="Arial"/>
        </w:rPr>
      </w:pPr>
      <w:r w:rsidRPr="00032CF3">
        <w:rPr>
          <w:rFonts w:cs="Arial"/>
        </w:rPr>
        <w:t>First published: n/a</w:t>
      </w:r>
    </w:p>
    <w:p w14:paraId="159C3FEC" w14:textId="77777777" w:rsidR="00241D06" w:rsidRPr="00032CF3" w:rsidRDefault="00241D06" w:rsidP="00241D06">
      <w:pPr>
        <w:rPr>
          <w:rFonts w:cs="Arial"/>
        </w:rPr>
      </w:pPr>
      <w:r w:rsidRPr="00032CF3">
        <w:rPr>
          <w:rFonts w:cs="Arial"/>
        </w:rPr>
        <w:t>Updated: n/a</w:t>
      </w:r>
    </w:p>
    <w:p w14:paraId="264D0598" w14:textId="77777777" w:rsidR="00241D06" w:rsidRPr="00032CF3" w:rsidRDefault="00241D06" w:rsidP="00241D06">
      <w:pPr>
        <w:rPr>
          <w:rFonts w:cs="Arial"/>
          <w:color w:val="000000" w:themeColor="text1"/>
        </w:rPr>
      </w:pPr>
      <w:r w:rsidRPr="00032CF3">
        <w:rPr>
          <w:rFonts w:cs="Arial"/>
          <w:color w:val="000000" w:themeColor="text1"/>
        </w:rPr>
        <w:t xml:space="preserve">Prepared by: Dawn Monaghan, </w:t>
      </w:r>
      <w:r w:rsidRPr="00032CF3">
        <w:rPr>
          <w:rFonts w:cs="Arial"/>
          <w:color w:val="000000" w:themeColor="text1"/>
          <w:lang w:eastAsia="en-GB"/>
        </w:rPr>
        <w:t xml:space="preserve">Head of Data Sharing and Privacy (NHS England) </w:t>
      </w:r>
    </w:p>
    <w:p w14:paraId="73DC6F48" w14:textId="77777777" w:rsidR="00241D06" w:rsidRPr="00032CF3" w:rsidRDefault="00241D06" w:rsidP="00241D06">
      <w:pPr>
        <w:rPr>
          <w:rFonts w:cs="Arial"/>
        </w:rPr>
      </w:pPr>
      <w:r w:rsidRPr="00032CF3">
        <w:rPr>
          <w:rFonts w:cs="Arial"/>
        </w:rPr>
        <w:t>Classification: (Official)</w:t>
      </w:r>
    </w:p>
    <w:p w14:paraId="6AA61FE7" w14:textId="77777777" w:rsidR="00241D06" w:rsidRPr="00032CF3" w:rsidRDefault="00241D06" w:rsidP="00241D06">
      <w:pPr>
        <w:rPr>
          <w:rFonts w:cs="Arial"/>
          <w:b/>
          <w:szCs w:val="24"/>
        </w:rPr>
      </w:pPr>
    </w:p>
    <w:p w14:paraId="261DB880" w14:textId="183A979A" w:rsidR="002B4C53" w:rsidRPr="00032CF3" w:rsidRDefault="002B4C53" w:rsidP="00824C15">
      <w:pPr>
        <w:jc w:val="both"/>
        <w:rPr>
          <w:rFonts w:cs="Arial"/>
        </w:rPr>
      </w:pPr>
      <w:r w:rsidRPr="00032CF3">
        <w:rPr>
          <w:rFonts w:cs="Arial"/>
        </w:rPr>
        <w:t>Thank you to colleagues from the LHCR IG Steering Group, LHCR IG Leads and critical friends who have helped in the development of this document</w:t>
      </w:r>
      <w:r>
        <w:rPr>
          <w:rFonts w:cs="Arial"/>
        </w:rPr>
        <w:t>.</w:t>
      </w:r>
    </w:p>
    <w:p w14:paraId="0222DFC7" w14:textId="4B9C0665" w:rsidR="00241D06" w:rsidRDefault="00241D06">
      <w:pPr>
        <w:spacing w:before="0" w:after="160" w:line="259" w:lineRule="auto"/>
        <w:rPr>
          <w:rFonts w:cs="Arial"/>
        </w:rPr>
      </w:pPr>
      <w:r>
        <w:rPr>
          <w:rFonts w:cs="Arial"/>
        </w:rPr>
        <w:br w:type="page"/>
      </w:r>
    </w:p>
    <w:bookmarkStart w:id="2" w:name="_Toc10223043" w:displacedByCustomXml="next"/>
    <w:sdt>
      <w:sdtPr>
        <w:rPr>
          <w:rFonts w:eastAsia="Times New Roman" w:cs="Arial"/>
          <w:b w:val="0"/>
          <w:bCs/>
          <w:color w:val="auto"/>
          <w:sz w:val="24"/>
          <w:szCs w:val="26"/>
        </w:rPr>
        <w:id w:val="584807684"/>
        <w:docPartObj>
          <w:docPartGallery w:val="Table of Contents"/>
          <w:docPartUnique/>
        </w:docPartObj>
      </w:sdtPr>
      <w:sdtEndPr>
        <w:rPr>
          <w:noProof/>
          <w:color w:val="FF0000"/>
          <w:sz w:val="22"/>
        </w:rPr>
      </w:sdtEndPr>
      <w:sdtContent>
        <w:p w14:paraId="0EEF7644" w14:textId="77777777" w:rsidR="00186592" w:rsidRPr="00032CF3" w:rsidRDefault="00186592" w:rsidP="00827FF2">
          <w:pPr>
            <w:pStyle w:val="Heading1"/>
            <w:numPr>
              <w:ilvl w:val="0"/>
              <w:numId w:val="0"/>
            </w:numPr>
            <w:rPr>
              <w:rFonts w:cs="Arial"/>
              <w:szCs w:val="72"/>
            </w:rPr>
          </w:pPr>
          <w:r w:rsidRPr="00032CF3">
            <w:rPr>
              <w:rFonts w:cs="Arial"/>
              <w:szCs w:val="72"/>
            </w:rPr>
            <w:t>Contents</w:t>
          </w:r>
          <w:bookmarkEnd w:id="2"/>
        </w:p>
        <w:p w14:paraId="55B8247E" w14:textId="3C6C0AE0" w:rsidR="00A967CD" w:rsidRDefault="00CD26DB">
          <w:pPr>
            <w:pStyle w:val="TOC1"/>
            <w:rPr>
              <w:rFonts w:asciiTheme="minorHAnsi" w:eastAsiaTheme="minorEastAsia" w:hAnsiTheme="minorHAnsi"/>
              <w:b w:val="0"/>
              <w:noProof/>
              <w:sz w:val="22"/>
              <w:lang w:eastAsia="en-GB"/>
            </w:rPr>
          </w:pPr>
          <w:r w:rsidRPr="00032CF3">
            <w:rPr>
              <w:rFonts w:cs="Arial"/>
              <w:bCs/>
              <w:noProof/>
            </w:rPr>
            <w:fldChar w:fldCharType="begin"/>
          </w:r>
          <w:r w:rsidRPr="00032CF3">
            <w:rPr>
              <w:rFonts w:cs="Arial"/>
              <w:bCs/>
              <w:noProof/>
            </w:rPr>
            <w:instrText xml:space="preserve"> TOC \o "1-3" \h \z \u </w:instrText>
          </w:r>
          <w:r w:rsidRPr="00032CF3">
            <w:rPr>
              <w:rFonts w:cs="Arial"/>
              <w:bCs/>
              <w:noProof/>
            </w:rPr>
            <w:fldChar w:fldCharType="separate"/>
          </w:r>
          <w:hyperlink w:anchor="_Toc10223043" w:history="1">
            <w:r w:rsidR="00A967CD" w:rsidRPr="00FA5536">
              <w:rPr>
                <w:rStyle w:val="Hyperlink"/>
                <w:rFonts w:cs="Arial"/>
                <w:noProof/>
              </w:rPr>
              <w:t>Contents</w:t>
            </w:r>
            <w:r w:rsidR="00A967CD">
              <w:rPr>
                <w:noProof/>
                <w:webHidden/>
              </w:rPr>
              <w:tab/>
            </w:r>
            <w:r w:rsidR="00A967CD">
              <w:rPr>
                <w:noProof/>
                <w:webHidden/>
              </w:rPr>
              <w:fldChar w:fldCharType="begin"/>
            </w:r>
            <w:r w:rsidR="00A967CD">
              <w:rPr>
                <w:noProof/>
                <w:webHidden/>
              </w:rPr>
              <w:instrText xml:space="preserve"> PAGEREF _Toc10223043 \h </w:instrText>
            </w:r>
            <w:r w:rsidR="00A967CD">
              <w:rPr>
                <w:noProof/>
                <w:webHidden/>
              </w:rPr>
            </w:r>
            <w:r w:rsidR="00A967CD">
              <w:rPr>
                <w:noProof/>
                <w:webHidden/>
              </w:rPr>
              <w:fldChar w:fldCharType="separate"/>
            </w:r>
            <w:r w:rsidR="00A967CD">
              <w:rPr>
                <w:noProof/>
                <w:webHidden/>
              </w:rPr>
              <w:t>3</w:t>
            </w:r>
            <w:r w:rsidR="00A967CD">
              <w:rPr>
                <w:noProof/>
                <w:webHidden/>
              </w:rPr>
              <w:fldChar w:fldCharType="end"/>
            </w:r>
          </w:hyperlink>
        </w:p>
        <w:p w14:paraId="145CCBF2" w14:textId="3C8B0501" w:rsidR="00A967CD" w:rsidRDefault="00A967CD">
          <w:pPr>
            <w:pStyle w:val="TOC1"/>
            <w:rPr>
              <w:rFonts w:asciiTheme="minorHAnsi" w:eastAsiaTheme="minorEastAsia" w:hAnsiTheme="minorHAnsi"/>
              <w:b w:val="0"/>
              <w:noProof/>
              <w:sz w:val="22"/>
              <w:lang w:eastAsia="en-GB"/>
            </w:rPr>
          </w:pPr>
          <w:hyperlink w:anchor="_Toc10223044" w:history="1">
            <w:r w:rsidRPr="00FA5536">
              <w:rPr>
                <w:rStyle w:val="Hyperlink"/>
                <w:rFonts w:cs="Arial"/>
                <w:noProof/>
              </w:rPr>
              <w:t>Executive Summary</w:t>
            </w:r>
            <w:r>
              <w:rPr>
                <w:noProof/>
                <w:webHidden/>
              </w:rPr>
              <w:tab/>
            </w:r>
            <w:r>
              <w:rPr>
                <w:noProof/>
                <w:webHidden/>
              </w:rPr>
              <w:fldChar w:fldCharType="begin"/>
            </w:r>
            <w:r>
              <w:rPr>
                <w:noProof/>
                <w:webHidden/>
              </w:rPr>
              <w:instrText xml:space="preserve"> PAGEREF _Toc10223044 \h </w:instrText>
            </w:r>
            <w:r>
              <w:rPr>
                <w:noProof/>
                <w:webHidden/>
              </w:rPr>
            </w:r>
            <w:r>
              <w:rPr>
                <w:noProof/>
                <w:webHidden/>
              </w:rPr>
              <w:fldChar w:fldCharType="separate"/>
            </w:r>
            <w:r>
              <w:rPr>
                <w:noProof/>
                <w:webHidden/>
              </w:rPr>
              <w:t>5</w:t>
            </w:r>
            <w:r>
              <w:rPr>
                <w:noProof/>
                <w:webHidden/>
              </w:rPr>
              <w:fldChar w:fldCharType="end"/>
            </w:r>
          </w:hyperlink>
        </w:p>
        <w:p w14:paraId="4708B20B" w14:textId="2CA8C42E" w:rsidR="00A967CD" w:rsidRDefault="00A967CD">
          <w:pPr>
            <w:pStyle w:val="TOC1"/>
            <w:rPr>
              <w:rFonts w:asciiTheme="minorHAnsi" w:eastAsiaTheme="minorEastAsia" w:hAnsiTheme="minorHAnsi"/>
              <w:b w:val="0"/>
              <w:noProof/>
              <w:sz w:val="22"/>
              <w:lang w:eastAsia="en-GB"/>
            </w:rPr>
          </w:pPr>
          <w:hyperlink w:anchor="_Toc10223045" w:history="1">
            <w:r w:rsidRPr="00FA5536">
              <w:rPr>
                <w:rStyle w:val="Hyperlink"/>
                <w:rFonts w:cs="Arial"/>
                <w:noProof/>
              </w:rPr>
              <w:t>1. Introduction</w:t>
            </w:r>
            <w:r>
              <w:rPr>
                <w:noProof/>
                <w:webHidden/>
              </w:rPr>
              <w:tab/>
            </w:r>
            <w:r>
              <w:rPr>
                <w:noProof/>
                <w:webHidden/>
              </w:rPr>
              <w:fldChar w:fldCharType="begin"/>
            </w:r>
            <w:r>
              <w:rPr>
                <w:noProof/>
                <w:webHidden/>
              </w:rPr>
              <w:instrText xml:space="preserve"> PAGEREF _Toc10223045 \h </w:instrText>
            </w:r>
            <w:r>
              <w:rPr>
                <w:noProof/>
                <w:webHidden/>
              </w:rPr>
            </w:r>
            <w:r>
              <w:rPr>
                <w:noProof/>
                <w:webHidden/>
              </w:rPr>
              <w:fldChar w:fldCharType="separate"/>
            </w:r>
            <w:r>
              <w:rPr>
                <w:noProof/>
                <w:webHidden/>
              </w:rPr>
              <w:t>7</w:t>
            </w:r>
            <w:r>
              <w:rPr>
                <w:noProof/>
                <w:webHidden/>
              </w:rPr>
              <w:fldChar w:fldCharType="end"/>
            </w:r>
          </w:hyperlink>
        </w:p>
        <w:p w14:paraId="33A33380" w14:textId="0D2D8CF1" w:rsidR="00A967CD" w:rsidRDefault="00A967CD">
          <w:pPr>
            <w:pStyle w:val="TOC1"/>
            <w:rPr>
              <w:rFonts w:asciiTheme="minorHAnsi" w:eastAsiaTheme="minorEastAsia" w:hAnsiTheme="minorHAnsi"/>
              <w:b w:val="0"/>
              <w:noProof/>
              <w:sz w:val="22"/>
              <w:lang w:eastAsia="en-GB"/>
            </w:rPr>
          </w:pPr>
          <w:hyperlink w:anchor="_Toc10223046" w:history="1">
            <w:r w:rsidRPr="00FA5536">
              <w:rPr>
                <w:rStyle w:val="Hyperlink"/>
                <w:rFonts w:cs="Arial"/>
                <w:noProof/>
                <w:lang w:eastAsia="en-GB"/>
              </w:rPr>
              <w:t>2. Using the Information Governance Framework</w:t>
            </w:r>
            <w:r>
              <w:rPr>
                <w:noProof/>
                <w:webHidden/>
              </w:rPr>
              <w:tab/>
            </w:r>
            <w:r>
              <w:rPr>
                <w:noProof/>
                <w:webHidden/>
              </w:rPr>
              <w:fldChar w:fldCharType="begin"/>
            </w:r>
            <w:r>
              <w:rPr>
                <w:noProof/>
                <w:webHidden/>
              </w:rPr>
              <w:instrText xml:space="preserve"> PAGEREF _Toc10223046 \h </w:instrText>
            </w:r>
            <w:r>
              <w:rPr>
                <w:noProof/>
                <w:webHidden/>
              </w:rPr>
            </w:r>
            <w:r>
              <w:rPr>
                <w:noProof/>
                <w:webHidden/>
              </w:rPr>
              <w:fldChar w:fldCharType="separate"/>
            </w:r>
            <w:r>
              <w:rPr>
                <w:noProof/>
                <w:webHidden/>
              </w:rPr>
              <w:t>8</w:t>
            </w:r>
            <w:r>
              <w:rPr>
                <w:noProof/>
                <w:webHidden/>
              </w:rPr>
              <w:fldChar w:fldCharType="end"/>
            </w:r>
          </w:hyperlink>
        </w:p>
        <w:p w14:paraId="16FB97BC" w14:textId="402D3B04"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47" w:history="1">
            <w:r w:rsidRPr="00FA5536">
              <w:rPr>
                <w:rStyle w:val="Hyperlink"/>
                <w:rFonts w:cs="Arial"/>
                <w:noProof/>
                <w:lang w:eastAsia="en-GB"/>
              </w:rPr>
              <w:t xml:space="preserve">2.1 </w:t>
            </w:r>
            <w:r w:rsidRPr="00FA5536">
              <w:rPr>
                <w:rStyle w:val="Hyperlink"/>
                <w:noProof/>
                <w:lang w:eastAsia="en-GB"/>
              </w:rPr>
              <w:t>Secondary Use Data Governance Tool</w:t>
            </w:r>
            <w:r>
              <w:rPr>
                <w:noProof/>
                <w:webHidden/>
              </w:rPr>
              <w:tab/>
            </w:r>
            <w:r>
              <w:rPr>
                <w:noProof/>
                <w:webHidden/>
              </w:rPr>
              <w:fldChar w:fldCharType="begin"/>
            </w:r>
            <w:r>
              <w:rPr>
                <w:noProof/>
                <w:webHidden/>
              </w:rPr>
              <w:instrText xml:space="preserve"> PAGEREF _Toc10223047 \h </w:instrText>
            </w:r>
            <w:r>
              <w:rPr>
                <w:noProof/>
                <w:webHidden/>
              </w:rPr>
            </w:r>
            <w:r>
              <w:rPr>
                <w:noProof/>
                <w:webHidden/>
              </w:rPr>
              <w:fldChar w:fldCharType="separate"/>
            </w:r>
            <w:r>
              <w:rPr>
                <w:noProof/>
                <w:webHidden/>
              </w:rPr>
              <w:t>8</w:t>
            </w:r>
            <w:r>
              <w:rPr>
                <w:noProof/>
                <w:webHidden/>
              </w:rPr>
              <w:fldChar w:fldCharType="end"/>
            </w:r>
          </w:hyperlink>
        </w:p>
        <w:p w14:paraId="4CF8BFCB" w14:textId="47805F53" w:rsidR="00A967CD" w:rsidRDefault="00A967CD">
          <w:pPr>
            <w:pStyle w:val="TOC1"/>
            <w:rPr>
              <w:rFonts w:asciiTheme="minorHAnsi" w:eastAsiaTheme="minorEastAsia" w:hAnsiTheme="minorHAnsi"/>
              <w:b w:val="0"/>
              <w:noProof/>
              <w:sz w:val="22"/>
              <w:lang w:eastAsia="en-GB"/>
            </w:rPr>
          </w:pPr>
          <w:hyperlink w:anchor="_Toc10223048" w:history="1">
            <w:r w:rsidRPr="00FA5536">
              <w:rPr>
                <w:rStyle w:val="Hyperlink"/>
                <w:rFonts w:cs="Arial"/>
                <w:noProof/>
                <w:lang w:eastAsia="en-GB"/>
              </w:rPr>
              <w:t>3. General Principles</w:t>
            </w:r>
            <w:r>
              <w:rPr>
                <w:noProof/>
                <w:webHidden/>
              </w:rPr>
              <w:tab/>
            </w:r>
            <w:r>
              <w:rPr>
                <w:noProof/>
                <w:webHidden/>
              </w:rPr>
              <w:fldChar w:fldCharType="begin"/>
            </w:r>
            <w:r>
              <w:rPr>
                <w:noProof/>
                <w:webHidden/>
              </w:rPr>
              <w:instrText xml:space="preserve"> PAGEREF _Toc10223048 \h </w:instrText>
            </w:r>
            <w:r>
              <w:rPr>
                <w:noProof/>
                <w:webHidden/>
              </w:rPr>
            </w:r>
            <w:r>
              <w:rPr>
                <w:noProof/>
                <w:webHidden/>
              </w:rPr>
              <w:fldChar w:fldCharType="separate"/>
            </w:r>
            <w:r>
              <w:rPr>
                <w:noProof/>
                <w:webHidden/>
              </w:rPr>
              <w:t>9</w:t>
            </w:r>
            <w:r>
              <w:rPr>
                <w:noProof/>
                <w:webHidden/>
              </w:rPr>
              <w:fldChar w:fldCharType="end"/>
            </w:r>
          </w:hyperlink>
        </w:p>
        <w:p w14:paraId="7DE2A6EF" w14:textId="7B8B49C5" w:rsidR="00A967CD" w:rsidRDefault="00A967CD">
          <w:pPr>
            <w:pStyle w:val="TOC1"/>
            <w:rPr>
              <w:rFonts w:asciiTheme="minorHAnsi" w:eastAsiaTheme="minorEastAsia" w:hAnsiTheme="minorHAnsi"/>
              <w:b w:val="0"/>
              <w:noProof/>
              <w:sz w:val="22"/>
              <w:lang w:eastAsia="en-GB"/>
            </w:rPr>
          </w:pPr>
          <w:hyperlink w:anchor="_Toc10223049" w:history="1">
            <w:r w:rsidRPr="00FA5536">
              <w:rPr>
                <w:rStyle w:val="Hyperlink"/>
                <w:rFonts w:cs="Arial"/>
                <w:noProof/>
              </w:rPr>
              <w:t>4. Requirements</w:t>
            </w:r>
            <w:r>
              <w:rPr>
                <w:noProof/>
                <w:webHidden/>
              </w:rPr>
              <w:tab/>
            </w:r>
            <w:r>
              <w:rPr>
                <w:noProof/>
                <w:webHidden/>
              </w:rPr>
              <w:fldChar w:fldCharType="begin"/>
            </w:r>
            <w:r>
              <w:rPr>
                <w:noProof/>
                <w:webHidden/>
              </w:rPr>
              <w:instrText xml:space="preserve"> PAGEREF _Toc10223049 \h </w:instrText>
            </w:r>
            <w:r>
              <w:rPr>
                <w:noProof/>
                <w:webHidden/>
              </w:rPr>
            </w:r>
            <w:r>
              <w:rPr>
                <w:noProof/>
                <w:webHidden/>
              </w:rPr>
              <w:fldChar w:fldCharType="separate"/>
            </w:r>
            <w:r>
              <w:rPr>
                <w:noProof/>
                <w:webHidden/>
              </w:rPr>
              <w:t>10</w:t>
            </w:r>
            <w:r>
              <w:rPr>
                <w:noProof/>
                <w:webHidden/>
              </w:rPr>
              <w:fldChar w:fldCharType="end"/>
            </w:r>
          </w:hyperlink>
        </w:p>
        <w:p w14:paraId="7B2B1702" w14:textId="01E10678"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50" w:history="1">
            <w:r w:rsidRPr="00FA5536">
              <w:rPr>
                <w:rStyle w:val="Hyperlink"/>
                <w:rFonts w:cs="Arial"/>
                <w:noProof/>
              </w:rPr>
              <w:t>4.1 The Importance of Good Information Governance Practice for LHCRs</w:t>
            </w:r>
            <w:r>
              <w:rPr>
                <w:noProof/>
                <w:webHidden/>
              </w:rPr>
              <w:tab/>
            </w:r>
            <w:r>
              <w:rPr>
                <w:noProof/>
                <w:webHidden/>
              </w:rPr>
              <w:fldChar w:fldCharType="begin"/>
            </w:r>
            <w:r>
              <w:rPr>
                <w:noProof/>
                <w:webHidden/>
              </w:rPr>
              <w:instrText xml:space="preserve"> PAGEREF _Toc10223050 \h </w:instrText>
            </w:r>
            <w:r>
              <w:rPr>
                <w:noProof/>
                <w:webHidden/>
              </w:rPr>
            </w:r>
            <w:r>
              <w:rPr>
                <w:noProof/>
                <w:webHidden/>
              </w:rPr>
              <w:fldChar w:fldCharType="separate"/>
            </w:r>
            <w:r>
              <w:rPr>
                <w:noProof/>
                <w:webHidden/>
              </w:rPr>
              <w:t>10</w:t>
            </w:r>
            <w:r>
              <w:rPr>
                <w:noProof/>
                <w:webHidden/>
              </w:rPr>
              <w:fldChar w:fldCharType="end"/>
            </w:r>
          </w:hyperlink>
        </w:p>
        <w:p w14:paraId="3F1E8F0E" w14:textId="3E96220F"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51" w:history="1">
            <w:r w:rsidRPr="00FA5536">
              <w:rPr>
                <w:rStyle w:val="Hyperlink"/>
                <w:rFonts w:cs="Arial"/>
                <w:noProof/>
              </w:rPr>
              <w:t>4.2 Understanding Legal Requirements</w:t>
            </w:r>
            <w:r>
              <w:rPr>
                <w:noProof/>
                <w:webHidden/>
              </w:rPr>
              <w:tab/>
            </w:r>
            <w:r>
              <w:rPr>
                <w:noProof/>
                <w:webHidden/>
              </w:rPr>
              <w:fldChar w:fldCharType="begin"/>
            </w:r>
            <w:r>
              <w:rPr>
                <w:noProof/>
                <w:webHidden/>
              </w:rPr>
              <w:instrText xml:space="preserve"> PAGEREF _Toc10223051 \h </w:instrText>
            </w:r>
            <w:r>
              <w:rPr>
                <w:noProof/>
                <w:webHidden/>
              </w:rPr>
            </w:r>
            <w:r>
              <w:rPr>
                <w:noProof/>
                <w:webHidden/>
              </w:rPr>
              <w:fldChar w:fldCharType="separate"/>
            </w:r>
            <w:r>
              <w:rPr>
                <w:noProof/>
                <w:webHidden/>
              </w:rPr>
              <w:t>11</w:t>
            </w:r>
            <w:r>
              <w:rPr>
                <w:noProof/>
                <w:webHidden/>
              </w:rPr>
              <w:fldChar w:fldCharType="end"/>
            </w:r>
          </w:hyperlink>
        </w:p>
        <w:p w14:paraId="1262D226" w14:textId="31C5F74A"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2" w:history="1">
            <w:r w:rsidRPr="00FA5536">
              <w:rPr>
                <w:rStyle w:val="Hyperlink"/>
                <w:rFonts w:cs="Arial"/>
                <w:noProof/>
              </w:rPr>
              <w:t>4.2.1</w:t>
            </w:r>
            <w:r>
              <w:rPr>
                <w:rFonts w:asciiTheme="minorHAnsi" w:eastAsiaTheme="minorEastAsia" w:hAnsiTheme="minorHAnsi"/>
                <w:noProof/>
                <w:color w:val="auto"/>
                <w:sz w:val="22"/>
                <w:lang w:eastAsia="en-GB"/>
              </w:rPr>
              <w:tab/>
            </w:r>
            <w:r w:rsidRPr="00FA5536">
              <w:rPr>
                <w:rStyle w:val="Hyperlink"/>
                <w:rFonts w:cs="Arial"/>
                <w:noProof/>
              </w:rPr>
              <w:t>Statutory duties and functions</w:t>
            </w:r>
            <w:r>
              <w:rPr>
                <w:noProof/>
                <w:webHidden/>
              </w:rPr>
              <w:tab/>
            </w:r>
            <w:r>
              <w:rPr>
                <w:noProof/>
                <w:webHidden/>
              </w:rPr>
              <w:fldChar w:fldCharType="begin"/>
            </w:r>
            <w:r>
              <w:rPr>
                <w:noProof/>
                <w:webHidden/>
              </w:rPr>
              <w:instrText xml:space="preserve"> PAGEREF _Toc10223052 \h </w:instrText>
            </w:r>
            <w:r>
              <w:rPr>
                <w:noProof/>
                <w:webHidden/>
              </w:rPr>
            </w:r>
            <w:r>
              <w:rPr>
                <w:noProof/>
                <w:webHidden/>
              </w:rPr>
              <w:fldChar w:fldCharType="separate"/>
            </w:r>
            <w:r>
              <w:rPr>
                <w:noProof/>
                <w:webHidden/>
              </w:rPr>
              <w:t>12</w:t>
            </w:r>
            <w:r>
              <w:rPr>
                <w:noProof/>
                <w:webHidden/>
              </w:rPr>
              <w:fldChar w:fldCharType="end"/>
            </w:r>
          </w:hyperlink>
        </w:p>
        <w:p w14:paraId="7424A8E9" w14:textId="647FBBD1"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3" w:history="1">
            <w:r w:rsidRPr="00FA5536">
              <w:rPr>
                <w:rStyle w:val="Hyperlink"/>
                <w:rFonts w:cs="Arial"/>
                <w:noProof/>
              </w:rPr>
              <w:t>4.2.2</w:t>
            </w:r>
            <w:r>
              <w:rPr>
                <w:rFonts w:asciiTheme="minorHAnsi" w:eastAsiaTheme="minorEastAsia" w:hAnsiTheme="minorHAnsi"/>
                <w:noProof/>
                <w:color w:val="auto"/>
                <w:sz w:val="22"/>
                <w:lang w:eastAsia="en-GB"/>
              </w:rPr>
              <w:tab/>
            </w:r>
            <w:r w:rsidRPr="00FA5536">
              <w:rPr>
                <w:rStyle w:val="Hyperlink"/>
                <w:rFonts w:cs="Arial"/>
                <w:noProof/>
              </w:rPr>
              <w:t>Data Protection Act (DPA) 2018 /GDPR</w:t>
            </w:r>
            <w:r>
              <w:rPr>
                <w:noProof/>
                <w:webHidden/>
              </w:rPr>
              <w:tab/>
            </w:r>
            <w:r>
              <w:rPr>
                <w:noProof/>
                <w:webHidden/>
              </w:rPr>
              <w:fldChar w:fldCharType="begin"/>
            </w:r>
            <w:r>
              <w:rPr>
                <w:noProof/>
                <w:webHidden/>
              </w:rPr>
              <w:instrText xml:space="preserve"> PAGEREF _Toc10223053 \h </w:instrText>
            </w:r>
            <w:r>
              <w:rPr>
                <w:noProof/>
                <w:webHidden/>
              </w:rPr>
            </w:r>
            <w:r>
              <w:rPr>
                <w:noProof/>
                <w:webHidden/>
              </w:rPr>
              <w:fldChar w:fldCharType="separate"/>
            </w:r>
            <w:r>
              <w:rPr>
                <w:noProof/>
                <w:webHidden/>
              </w:rPr>
              <w:t>12</w:t>
            </w:r>
            <w:r>
              <w:rPr>
                <w:noProof/>
                <w:webHidden/>
              </w:rPr>
              <w:fldChar w:fldCharType="end"/>
            </w:r>
          </w:hyperlink>
        </w:p>
        <w:p w14:paraId="3D70D9D2" w14:textId="054FE118"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4" w:history="1">
            <w:r w:rsidRPr="00FA5536">
              <w:rPr>
                <w:rStyle w:val="Hyperlink"/>
                <w:rFonts w:cs="Arial"/>
                <w:noProof/>
              </w:rPr>
              <w:t>4.2.3</w:t>
            </w:r>
            <w:r>
              <w:rPr>
                <w:rFonts w:asciiTheme="minorHAnsi" w:eastAsiaTheme="minorEastAsia" w:hAnsiTheme="minorHAnsi"/>
                <w:noProof/>
                <w:color w:val="auto"/>
                <w:sz w:val="22"/>
                <w:lang w:eastAsia="en-GB"/>
              </w:rPr>
              <w:tab/>
            </w:r>
            <w:r w:rsidRPr="00FA5536">
              <w:rPr>
                <w:rStyle w:val="Hyperlink"/>
                <w:rFonts w:cs="Arial"/>
                <w:noProof/>
              </w:rPr>
              <w:t>Common Law Duty of Confidentiality</w:t>
            </w:r>
            <w:r>
              <w:rPr>
                <w:noProof/>
                <w:webHidden/>
              </w:rPr>
              <w:tab/>
            </w:r>
            <w:r>
              <w:rPr>
                <w:noProof/>
                <w:webHidden/>
              </w:rPr>
              <w:fldChar w:fldCharType="begin"/>
            </w:r>
            <w:r>
              <w:rPr>
                <w:noProof/>
                <w:webHidden/>
              </w:rPr>
              <w:instrText xml:space="preserve"> PAGEREF _Toc10223054 \h </w:instrText>
            </w:r>
            <w:r>
              <w:rPr>
                <w:noProof/>
                <w:webHidden/>
              </w:rPr>
            </w:r>
            <w:r>
              <w:rPr>
                <w:noProof/>
                <w:webHidden/>
              </w:rPr>
              <w:fldChar w:fldCharType="separate"/>
            </w:r>
            <w:r>
              <w:rPr>
                <w:noProof/>
                <w:webHidden/>
              </w:rPr>
              <w:t>13</w:t>
            </w:r>
            <w:r>
              <w:rPr>
                <w:noProof/>
                <w:webHidden/>
              </w:rPr>
              <w:fldChar w:fldCharType="end"/>
            </w:r>
          </w:hyperlink>
        </w:p>
        <w:p w14:paraId="2D612BC6" w14:textId="567184D4"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5" w:history="1">
            <w:r w:rsidRPr="00FA5536">
              <w:rPr>
                <w:rStyle w:val="Hyperlink"/>
                <w:rFonts w:cs="Arial"/>
                <w:noProof/>
              </w:rPr>
              <w:t>4.2.4</w:t>
            </w:r>
            <w:r>
              <w:rPr>
                <w:rFonts w:asciiTheme="minorHAnsi" w:eastAsiaTheme="minorEastAsia" w:hAnsiTheme="minorHAnsi"/>
                <w:noProof/>
                <w:color w:val="auto"/>
                <w:sz w:val="22"/>
                <w:lang w:eastAsia="en-GB"/>
              </w:rPr>
              <w:tab/>
            </w:r>
            <w:r w:rsidRPr="00FA5536">
              <w:rPr>
                <w:rStyle w:val="Hyperlink"/>
                <w:rFonts w:cs="Arial"/>
                <w:noProof/>
              </w:rPr>
              <w:t>Meeting the Human Rights Act obligations</w:t>
            </w:r>
            <w:r>
              <w:rPr>
                <w:noProof/>
                <w:webHidden/>
              </w:rPr>
              <w:tab/>
            </w:r>
            <w:r>
              <w:rPr>
                <w:noProof/>
                <w:webHidden/>
              </w:rPr>
              <w:fldChar w:fldCharType="begin"/>
            </w:r>
            <w:r>
              <w:rPr>
                <w:noProof/>
                <w:webHidden/>
              </w:rPr>
              <w:instrText xml:space="preserve"> PAGEREF _Toc10223055 \h </w:instrText>
            </w:r>
            <w:r>
              <w:rPr>
                <w:noProof/>
                <w:webHidden/>
              </w:rPr>
            </w:r>
            <w:r>
              <w:rPr>
                <w:noProof/>
                <w:webHidden/>
              </w:rPr>
              <w:fldChar w:fldCharType="separate"/>
            </w:r>
            <w:r>
              <w:rPr>
                <w:noProof/>
                <w:webHidden/>
              </w:rPr>
              <w:t>14</w:t>
            </w:r>
            <w:r>
              <w:rPr>
                <w:noProof/>
                <w:webHidden/>
              </w:rPr>
              <w:fldChar w:fldCharType="end"/>
            </w:r>
          </w:hyperlink>
        </w:p>
        <w:p w14:paraId="03D926A5" w14:textId="51B78556"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6" w:history="1">
            <w:r w:rsidRPr="00FA5536">
              <w:rPr>
                <w:rStyle w:val="Hyperlink"/>
                <w:rFonts w:cs="Arial"/>
                <w:noProof/>
              </w:rPr>
              <w:t>4.2.5</w:t>
            </w:r>
            <w:r>
              <w:rPr>
                <w:rFonts w:asciiTheme="minorHAnsi" w:eastAsiaTheme="minorEastAsia" w:hAnsiTheme="minorHAnsi"/>
                <w:noProof/>
                <w:color w:val="auto"/>
                <w:sz w:val="22"/>
                <w:lang w:eastAsia="en-GB"/>
              </w:rPr>
              <w:tab/>
            </w:r>
            <w:r w:rsidRPr="00FA5536">
              <w:rPr>
                <w:rStyle w:val="Hyperlink"/>
                <w:rFonts w:cs="Arial"/>
                <w:noProof/>
              </w:rPr>
              <w:t>The Duty of Transparency</w:t>
            </w:r>
            <w:r>
              <w:rPr>
                <w:noProof/>
                <w:webHidden/>
              </w:rPr>
              <w:tab/>
            </w:r>
            <w:r>
              <w:rPr>
                <w:noProof/>
                <w:webHidden/>
              </w:rPr>
              <w:fldChar w:fldCharType="begin"/>
            </w:r>
            <w:r>
              <w:rPr>
                <w:noProof/>
                <w:webHidden/>
              </w:rPr>
              <w:instrText xml:space="preserve"> PAGEREF _Toc10223056 \h </w:instrText>
            </w:r>
            <w:r>
              <w:rPr>
                <w:noProof/>
                <w:webHidden/>
              </w:rPr>
            </w:r>
            <w:r>
              <w:rPr>
                <w:noProof/>
                <w:webHidden/>
              </w:rPr>
              <w:fldChar w:fldCharType="separate"/>
            </w:r>
            <w:r>
              <w:rPr>
                <w:noProof/>
                <w:webHidden/>
              </w:rPr>
              <w:t>15</w:t>
            </w:r>
            <w:r>
              <w:rPr>
                <w:noProof/>
                <w:webHidden/>
              </w:rPr>
              <w:fldChar w:fldCharType="end"/>
            </w:r>
          </w:hyperlink>
        </w:p>
        <w:p w14:paraId="3CAC4801" w14:textId="74090FFC"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57" w:history="1">
            <w:r w:rsidRPr="00FA5536">
              <w:rPr>
                <w:rStyle w:val="Hyperlink"/>
                <w:rFonts w:cs="Arial"/>
                <w:noProof/>
              </w:rPr>
              <w:t>4.3 Determining data flows and controllership</w:t>
            </w:r>
            <w:r>
              <w:rPr>
                <w:noProof/>
                <w:webHidden/>
              </w:rPr>
              <w:tab/>
            </w:r>
            <w:r>
              <w:rPr>
                <w:noProof/>
                <w:webHidden/>
              </w:rPr>
              <w:fldChar w:fldCharType="begin"/>
            </w:r>
            <w:r>
              <w:rPr>
                <w:noProof/>
                <w:webHidden/>
              </w:rPr>
              <w:instrText xml:space="preserve"> PAGEREF _Toc10223057 \h </w:instrText>
            </w:r>
            <w:r>
              <w:rPr>
                <w:noProof/>
                <w:webHidden/>
              </w:rPr>
            </w:r>
            <w:r>
              <w:rPr>
                <w:noProof/>
                <w:webHidden/>
              </w:rPr>
              <w:fldChar w:fldCharType="separate"/>
            </w:r>
            <w:r>
              <w:rPr>
                <w:noProof/>
                <w:webHidden/>
              </w:rPr>
              <w:t>17</w:t>
            </w:r>
            <w:r>
              <w:rPr>
                <w:noProof/>
                <w:webHidden/>
              </w:rPr>
              <w:fldChar w:fldCharType="end"/>
            </w:r>
          </w:hyperlink>
        </w:p>
        <w:p w14:paraId="385333D1" w14:textId="2822E1AB"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8" w:history="1">
            <w:r w:rsidRPr="00FA5536">
              <w:rPr>
                <w:rStyle w:val="Hyperlink"/>
                <w:rFonts w:cs="Arial"/>
                <w:noProof/>
              </w:rPr>
              <w:t>4.3.1</w:t>
            </w:r>
            <w:r>
              <w:rPr>
                <w:rFonts w:asciiTheme="minorHAnsi" w:eastAsiaTheme="minorEastAsia" w:hAnsiTheme="minorHAnsi"/>
                <w:noProof/>
                <w:color w:val="auto"/>
                <w:sz w:val="22"/>
                <w:lang w:eastAsia="en-GB"/>
              </w:rPr>
              <w:tab/>
            </w:r>
            <w:r w:rsidRPr="00FA5536">
              <w:rPr>
                <w:rStyle w:val="Hyperlink"/>
                <w:rFonts w:cs="Arial"/>
                <w:noProof/>
              </w:rPr>
              <w:t xml:space="preserve"> Joint Controllership</w:t>
            </w:r>
            <w:r>
              <w:rPr>
                <w:noProof/>
                <w:webHidden/>
              </w:rPr>
              <w:tab/>
            </w:r>
            <w:r>
              <w:rPr>
                <w:noProof/>
                <w:webHidden/>
              </w:rPr>
              <w:fldChar w:fldCharType="begin"/>
            </w:r>
            <w:r>
              <w:rPr>
                <w:noProof/>
                <w:webHidden/>
              </w:rPr>
              <w:instrText xml:space="preserve"> PAGEREF _Toc10223058 \h </w:instrText>
            </w:r>
            <w:r>
              <w:rPr>
                <w:noProof/>
                <w:webHidden/>
              </w:rPr>
            </w:r>
            <w:r>
              <w:rPr>
                <w:noProof/>
                <w:webHidden/>
              </w:rPr>
              <w:fldChar w:fldCharType="separate"/>
            </w:r>
            <w:r>
              <w:rPr>
                <w:noProof/>
                <w:webHidden/>
              </w:rPr>
              <w:t>18</w:t>
            </w:r>
            <w:r>
              <w:rPr>
                <w:noProof/>
                <w:webHidden/>
              </w:rPr>
              <w:fldChar w:fldCharType="end"/>
            </w:r>
          </w:hyperlink>
        </w:p>
        <w:p w14:paraId="6AF7B084" w14:textId="114DDDC2"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59" w:history="1">
            <w:r w:rsidRPr="00FA5536">
              <w:rPr>
                <w:rStyle w:val="Hyperlink"/>
                <w:noProof/>
                <w:lang w:val="en-US"/>
              </w:rPr>
              <w:t>4.3.2</w:t>
            </w:r>
            <w:r>
              <w:rPr>
                <w:rFonts w:asciiTheme="minorHAnsi" w:eastAsiaTheme="minorEastAsia" w:hAnsiTheme="minorHAnsi"/>
                <w:noProof/>
                <w:color w:val="auto"/>
                <w:sz w:val="22"/>
                <w:lang w:eastAsia="en-GB"/>
              </w:rPr>
              <w:tab/>
            </w:r>
            <w:r w:rsidRPr="00FA5536">
              <w:rPr>
                <w:rStyle w:val="Hyperlink"/>
                <w:noProof/>
                <w:lang w:val="en-US"/>
              </w:rPr>
              <w:t>Data sharing arrangements</w:t>
            </w:r>
            <w:r>
              <w:rPr>
                <w:noProof/>
                <w:webHidden/>
              </w:rPr>
              <w:tab/>
            </w:r>
            <w:r>
              <w:rPr>
                <w:noProof/>
                <w:webHidden/>
              </w:rPr>
              <w:fldChar w:fldCharType="begin"/>
            </w:r>
            <w:r>
              <w:rPr>
                <w:noProof/>
                <w:webHidden/>
              </w:rPr>
              <w:instrText xml:space="preserve"> PAGEREF _Toc10223059 \h </w:instrText>
            </w:r>
            <w:r>
              <w:rPr>
                <w:noProof/>
                <w:webHidden/>
              </w:rPr>
            </w:r>
            <w:r>
              <w:rPr>
                <w:noProof/>
                <w:webHidden/>
              </w:rPr>
              <w:fldChar w:fldCharType="separate"/>
            </w:r>
            <w:r>
              <w:rPr>
                <w:noProof/>
                <w:webHidden/>
              </w:rPr>
              <w:t>19</w:t>
            </w:r>
            <w:r>
              <w:rPr>
                <w:noProof/>
                <w:webHidden/>
              </w:rPr>
              <w:fldChar w:fldCharType="end"/>
            </w:r>
          </w:hyperlink>
        </w:p>
        <w:p w14:paraId="3B3B9EC1" w14:textId="2B743FAB"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60" w:history="1">
            <w:r w:rsidRPr="00FA5536">
              <w:rPr>
                <w:rStyle w:val="Hyperlink"/>
                <w:rFonts w:cs="Arial"/>
                <w:noProof/>
                <w:lang w:val="en-US" w:eastAsia="en-GB"/>
              </w:rPr>
              <w:t>4.4 Records of Processing Activity Art.30</w:t>
            </w:r>
            <w:r>
              <w:rPr>
                <w:noProof/>
                <w:webHidden/>
              </w:rPr>
              <w:tab/>
            </w:r>
            <w:r>
              <w:rPr>
                <w:noProof/>
                <w:webHidden/>
              </w:rPr>
              <w:fldChar w:fldCharType="begin"/>
            </w:r>
            <w:r>
              <w:rPr>
                <w:noProof/>
                <w:webHidden/>
              </w:rPr>
              <w:instrText xml:space="preserve"> PAGEREF _Toc10223060 \h </w:instrText>
            </w:r>
            <w:r>
              <w:rPr>
                <w:noProof/>
                <w:webHidden/>
              </w:rPr>
            </w:r>
            <w:r>
              <w:rPr>
                <w:noProof/>
                <w:webHidden/>
              </w:rPr>
              <w:fldChar w:fldCharType="separate"/>
            </w:r>
            <w:r>
              <w:rPr>
                <w:noProof/>
                <w:webHidden/>
              </w:rPr>
              <w:t>20</w:t>
            </w:r>
            <w:r>
              <w:rPr>
                <w:noProof/>
                <w:webHidden/>
              </w:rPr>
              <w:fldChar w:fldCharType="end"/>
            </w:r>
          </w:hyperlink>
        </w:p>
        <w:p w14:paraId="7946340B" w14:textId="3BD9006C"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61" w:history="1">
            <w:r w:rsidRPr="00FA5536">
              <w:rPr>
                <w:rStyle w:val="Hyperlink"/>
                <w:rFonts w:cs="Arial"/>
                <w:noProof/>
              </w:rPr>
              <w:t>4.5 Assuring security</w:t>
            </w:r>
            <w:r>
              <w:rPr>
                <w:noProof/>
                <w:webHidden/>
              </w:rPr>
              <w:tab/>
            </w:r>
            <w:r>
              <w:rPr>
                <w:noProof/>
                <w:webHidden/>
              </w:rPr>
              <w:fldChar w:fldCharType="begin"/>
            </w:r>
            <w:r>
              <w:rPr>
                <w:noProof/>
                <w:webHidden/>
              </w:rPr>
              <w:instrText xml:space="preserve"> PAGEREF _Toc10223061 \h </w:instrText>
            </w:r>
            <w:r>
              <w:rPr>
                <w:noProof/>
                <w:webHidden/>
              </w:rPr>
            </w:r>
            <w:r>
              <w:rPr>
                <w:noProof/>
                <w:webHidden/>
              </w:rPr>
              <w:fldChar w:fldCharType="separate"/>
            </w:r>
            <w:r>
              <w:rPr>
                <w:noProof/>
                <w:webHidden/>
              </w:rPr>
              <w:t>21</w:t>
            </w:r>
            <w:r>
              <w:rPr>
                <w:noProof/>
                <w:webHidden/>
              </w:rPr>
              <w:fldChar w:fldCharType="end"/>
            </w:r>
          </w:hyperlink>
        </w:p>
        <w:p w14:paraId="15477359" w14:textId="7DE1DE23"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62" w:history="1">
            <w:r w:rsidRPr="00FA5536">
              <w:rPr>
                <w:rStyle w:val="Hyperlink"/>
                <w:rFonts w:cs="Arial"/>
                <w:noProof/>
              </w:rPr>
              <w:t>4.5.1</w:t>
            </w:r>
            <w:r>
              <w:rPr>
                <w:rFonts w:asciiTheme="minorHAnsi" w:eastAsiaTheme="minorEastAsia" w:hAnsiTheme="minorHAnsi"/>
                <w:noProof/>
                <w:color w:val="auto"/>
                <w:sz w:val="22"/>
                <w:lang w:eastAsia="en-GB"/>
              </w:rPr>
              <w:tab/>
            </w:r>
            <w:r w:rsidRPr="00FA5536">
              <w:rPr>
                <w:rStyle w:val="Hyperlink"/>
                <w:rFonts w:cs="Arial"/>
                <w:noProof/>
              </w:rPr>
              <w:t>Using Processors</w:t>
            </w:r>
            <w:r>
              <w:rPr>
                <w:noProof/>
                <w:webHidden/>
              </w:rPr>
              <w:tab/>
            </w:r>
            <w:r>
              <w:rPr>
                <w:noProof/>
                <w:webHidden/>
              </w:rPr>
              <w:fldChar w:fldCharType="begin"/>
            </w:r>
            <w:r>
              <w:rPr>
                <w:noProof/>
                <w:webHidden/>
              </w:rPr>
              <w:instrText xml:space="preserve"> PAGEREF _Toc10223062 \h </w:instrText>
            </w:r>
            <w:r>
              <w:rPr>
                <w:noProof/>
                <w:webHidden/>
              </w:rPr>
            </w:r>
            <w:r>
              <w:rPr>
                <w:noProof/>
                <w:webHidden/>
              </w:rPr>
              <w:fldChar w:fldCharType="separate"/>
            </w:r>
            <w:r>
              <w:rPr>
                <w:noProof/>
                <w:webHidden/>
              </w:rPr>
              <w:t>21</w:t>
            </w:r>
            <w:r>
              <w:rPr>
                <w:noProof/>
                <w:webHidden/>
              </w:rPr>
              <w:fldChar w:fldCharType="end"/>
            </w:r>
          </w:hyperlink>
        </w:p>
        <w:p w14:paraId="7120DFCA" w14:textId="692EEF59"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63" w:history="1">
            <w:r w:rsidRPr="00FA5536">
              <w:rPr>
                <w:rStyle w:val="Hyperlink"/>
                <w:rFonts w:cs="Arial"/>
                <w:noProof/>
              </w:rPr>
              <w:t>4.5.2</w:t>
            </w:r>
            <w:r>
              <w:rPr>
                <w:rFonts w:asciiTheme="minorHAnsi" w:eastAsiaTheme="minorEastAsia" w:hAnsiTheme="minorHAnsi"/>
                <w:noProof/>
                <w:color w:val="auto"/>
                <w:sz w:val="22"/>
                <w:lang w:eastAsia="en-GB"/>
              </w:rPr>
              <w:tab/>
            </w:r>
            <w:r w:rsidRPr="00FA5536">
              <w:rPr>
                <w:rStyle w:val="Hyperlink"/>
                <w:rFonts w:cs="Arial"/>
                <w:noProof/>
              </w:rPr>
              <w:t>The Data Security and Protection Toolkit (DSPT)</w:t>
            </w:r>
            <w:r>
              <w:rPr>
                <w:noProof/>
                <w:webHidden/>
              </w:rPr>
              <w:tab/>
            </w:r>
            <w:r>
              <w:rPr>
                <w:noProof/>
                <w:webHidden/>
              </w:rPr>
              <w:fldChar w:fldCharType="begin"/>
            </w:r>
            <w:r>
              <w:rPr>
                <w:noProof/>
                <w:webHidden/>
              </w:rPr>
              <w:instrText xml:space="preserve"> PAGEREF _Toc10223063 \h </w:instrText>
            </w:r>
            <w:r>
              <w:rPr>
                <w:noProof/>
                <w:webHidden/>
              </w:rPr>
            </w:r>
            <w:r>
              <w:rPr>
                <w:noProof/>
                <w:webHidden/>
              </w:rPr>
              <w:fldChar w:fldCharType="separate"/>
            </w:r>
            <w:r>
              <w:rPr>
                <w:noProof/>
                <w:webHidden/>
              </w:rPr>
              <w:t>22</w:t>
            </w:r>
            <w:r>
              <w:rPr>
                <w:noProof/>
                <w:webHidden/>
              </w:rPr>
              <w:fldChar w:fldCharType="end"/>
            </w:r>
          </w:hyperlink>
        </w:p>
        <w:p w14:paraId="15364D02" w14:textId="06C94D96"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64" w:history="1">
            <w:r w:rsidRPr="00FA5536">
              <w:rPr>
                <w:rStyle w:val="Hyperlink"/>
                <w:rFonts w:cs="Arial"/>
                <w:noProof/>
              </w:rPr>
              <w:t>4.5.3</w:t>
            </w:r>
            <w:r>
              <w:rPr>
                <w:rFonts w:asciiTheme="minorHAnsi" w:eastAsiaTheme="minorEastAsia" w:hAnsiTheme="minorHAnsi"/>
                <w:noProof/>
                <w:color w:val="auto"/>
                <w:sz w:val="22"/>
                <w:lang w:eastAsia="en-GB"/>
              </w:rPr>
              <w:tab/>
            </w:r>
            <w:r w:rsidRPr="00FA5536">
              <w:rPr>
                <w:rStyle w:val="Hyperlink"/>
                <w:rFonts w:cs="Arial"/>
                <w:noProof/>
              </w:rPr>
              <w:t xml:space="preserve"> Data and Cyber Security Standards</w:t>
            </w:r>
            <w:r>
              <w:rPr>
                <w:noProof/>
                <w:webHidden/>
              </w:rPr>
              <w:tab/>
            </w:r>
            <w:r>
              <w:rPr>
                <w:noProof/>
                <w:webHidden/>
              </w:rPr>
              <w:fldChar w:fldCharType="begin"/>
            </w:r>
            <w:r>
              <w:rPr>
                <w:noProof/>
                <w:webHidden/>
              </w:rPr>
              <w:instrText xml:space="preserve"> PAGEREF _Toc10223064 \h </w:instrText>
            </w:r>
            <w:r>
              <w:rPr>
                <w:noProof/>
                <w:webHidden/>
              </w:rPr>
            </w:r>
            <w:r>
              <w:rPr>
                <w:noProof/>
                <w:webHidden/>
              </w:rPr>
              <w:fldChar w:fldCharType="separate"/>
            </w:r>
            <w:r>
              <w:rPr>
                <w:noProof/>
                <w:webHidden/>
              </w:rPr>
              <w:t>22</w:t>
            </w:r>
            <w:r>
              <w:rPr>
                <w:noProof/>
                <w:webHidden/>
              </w:rPr>
              <w:fldChar w:fldCharType="end"/>
            </w:r>
          </w:hyperlink>
        </w:p>
        <w:p w14:paraId="5F350CAF" w14:textId="3AA570BA"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65" w:history="1">
            <w:r w:rsidRPr="00FA5536">
              <w:rPr>
                <w:rStyle w:val="Hyperlink"/>
                <w:bCs/>
                <w:noProof/>
              </w:rPr>
              <w:t>4.5.4</w:t>
            </w:r>
            <w:r>
              <w:rPr>
                <w:rFonts w:asciiTheme="minorHAnsi" w:eastAsiaTheme="minorEastAsia" w:hAnsiTheme="minorHAnsi"/>
                <w:noProof/>
                <w:color w:val="auto"/>
                <w:sz w:val="22"/>
                <w:lang w:eastAsia="en-GB"/>
              </w:rPr>
              <w:tab/>
            </w:r>
            <w:r w:rsidRPr="00FA5536">
              <w:rPr>
                <w:rStyle w:val="Hyperlink"/>
                <w:bCs/>
                <w:noProof/>
              </w:rPr>
              <w:t xml:space="preserve"> Effective Cyber Threat Situational Awareness</w:t>
            </w:r>
            <w:r>
              <w:rPr>
                <w:noProof/>
                <w:webHidden/>
              </w:rPr>
              <w:tab/>
            </w:r>
            <w:r>
              <w:rPr>
                <w:noProof/>
                <w:webHidden/>
              </w:rPr>
              <w:fldChar w:fldCharType="begin"/>
            </w:r>
            <w:r>
              <w:rPr>
                <w:noProof/>
                <w:webHidden/>
              </w:rPr>
              <w:instrText xml:space="preserve"> PAGEREF _Toc10223065 \h </w:instrText>
            </w:r>
            <w:r>
              <w:rPr>
                <w:noProof/>
                <w:webHidden/>
              </w:rPr>
            </w:r>
            <w:r>
              <w:rPr>
                <w:noProof/>
                <w:webHidden/>
              </w:rPr>
              <w:fldChar w:fldCharType="separate"/>
            </w:r>
            <w:r>
              <w:rPr>
                <w:noProof/>
                <w:webHidden/>
              </w:rPr>
              <w:t>22</w:t>
            </w:r>
            <w:r>
              <w:rPr>
                <w:noProof/>
                <w:webHidden/>
              </w:rPr>
              <w:fldChar w:fldCharType="end"/>
            </w:r>
          </w:hyperlink>
        </w:p>
        <w:p w14:paraId="11346FF1" w14:textId="357E45F0"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66" w:history="1">
            <w:r w:rsidRPr="00FA5536">
              <w:rPr>
                <w:rStyle w:val="Hyperlink"/>
                <w:rFonts w:cs="Arial"/>
                <w:noProof/>
              </w:rPr>
              <w:t>4.6 Data Access, Review and Retention</w:t>
            </w:r>
            <w:r>
              <w:rPr>
                <w:noProof/>
                <w:webHidden/>
              </w:rPr>
              <w:tab/>
            </w:r>
            <w:r>
              <w:rPr>
                <w:noProof/>
                <w:webHidden/>
              </w:rPr>
              <w:fldChar w:fldCharType="begin"/>
            </w:r>
            <w:r>
              <w:rPr>
                <w:noProof/>
                <w:webHidden/>
              </w:rPr>
              <w:instrText xml:space="preserve"> PAGEREF _Toc10223066 \h </w:instrText>
            </w:r>
            <w:r>
              <w:rPr>
                <w:noProof/>
                <w:webHidden/>
              </w:rPr>
            </w:r>
            <w:r>
              <w:rPr>
                <w:noProof/>
                <w:webHidden/>
              </w:rPr>
              <w:fldChar w:fldCharType="separate"/>
            </w:r>
            <w:r>
              <w:rPr>
                <w:noProof/>
                <w:webHidden/>
              </w:rPr>
              <w:t>23</w:t>
            </w:r>
            <w:r>
              <w:rPr>
                <w:noProof/>
                <w:webHidden/>
              </w:rPr>
              <w:fldChar w:fldCharType="end"/>
            </w:r>
          </w:hyperlink>
        </w:p>
        <w:p w14:paraId="23B72647" w14:textId="6F1E10EA"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67" w:history="1">
            <w:r w:rsidRPr="00FA5536">
              <w:rPr>
                <w:rStyle w:val="Hyperlink"/>
                <w:rFonts w:cs="Arial"/>
                <w:noProof/>
              </w:rPr>
              <w:t>4.7 Individual Rights</w:t>
            </w:r>
            <w:r>
              <w:rPr>
                <w:noProof/>
                <w:webHidden/>
              </w:rPr>
              <w:tab/>
            </w:r>
            <w:r>
              <w:rPr>
                <w:noProof/>
                <w:webHidden/>
              </w:rPr>
              <w:fldChar w:fldCharType="begin"/>
            </w:r>
            <w:r>
              <w:rPr>
                <w:noProof/>
                <w:webHidden/>
              </w:rPr>
              <w:instrText xml:space="preserve"> PAGEREF _Toc10223067 \h </w:instrText>
            </w:r>
            <w:r>
              <w:rPr>
                <w:noProof/>
                <w:webHidden/>
              </w:rPr>
            </w:r>
            <w:r>
              <w:rPr>
                <w:noProof/>
                <w:webHidden/>
              </w:rPr>
              <w:fldChar w:fldCharType="separate"/>
            </w:r>
            <w:r>
              <w:rPr>
                <w:noProof/>
                <w:webHidden/>
              </w:rPr>
              <w:t>24</w:t>
            </w:r>
            <w:r>
              <w:rPr>
                <w:noProof/>
                <w:webHidden/>
              </w:rPr>
              <w:fldChar w:fldCharType="end"/>
            </w:r>
          </w:hyperlink>
        </w:p>
        <w:p w14:paraId="44442E56" w14:textId="1150728D"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68" w:history="1">
            <w:r w:rsidRPr="00FA5536">
              <w:rPr>
                <w:rStyle w:val="Hyperlink"/>
                <w:rFonts w:cs="Arial"/>
                <w:noProof/>
              </w:rPr>
              <w:t>4.8 Patient Objection to Processing and National Data Opt-Out</w:t>
            </w:r>
            <w:r>
              <w:rPr>
                <w:noProof/>
                <w:webHidden/>
              </w:rPr>
              <w:tab/>
            </w:r>
            <w:r>
              <w:rPr>
                <w:noProof/>
                <w:webHidden/>
              </w:rPr>
              <w:fldChar w:fldCharType="begin"/>
            </w:r>
            <w:r>
              <w:rPr>
                <w:noProof/>
                <w:webHidden/>
              </w:rPr>
              <w:instrText xml:space="preserve"> PAGEREF _Toc10223068 \h </w:instrText>
            </w:r>
            <w:r>
              <w:rPr>
                <w:noProof/>
                <w:webHidden/>
              </w:rPr>
            </w:r>
            <w:r>
              <w:rPr>
                <w:noProof/>
                <w:webHidden/>
              </w:rPr>
              <w:fldChar w:fldCharType="separate"/>
            </w:r>
            <w:r>
              <w:rPr>
                <w:noProof/>
                <w:webHidden/>
              </w:rPr>
              <w:t>25</w:t>
            </w:r>
            <w:r>
              <w:rPr>
                <w:noProof/>
                <w:webHidden/>
              </w:rPr>
              <w:fldChar w:fldCharType="end"/>
            </w:r>
          </w:hyperlink>
        </w:p>
        <w:p w14:paraId="06B26A18" w14:textId="02229C44"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69" w:history="1">
            <w:r w:rsidRPr="00FA5536">
              <w:rPr>
                <w:rStyle w:val="Hyperlink"/>
                <w:rFonts w:cs="Arial"/>
                <w:noProof/>
              </w:rPr>
              <w:t>4.8.1</w:t>
            </w:r>
            <w:r>
              <w:rPr>
                <w:rFonts w:asciiTheme="minorHAnsi" w:eastAsiaTheme="minorEastAsia" w:hAnsiTheme="minorHAnsi"/>
                <w:noProof/>
                <w:color w:val="auto"/>
                <w:sz w:val="22"/>
                <w:lang w:eastAsia="en-GB"/>
              </w:rPr>
              <w:tab/>
            </w:r>
            <w:r w:rsidRPr="00FA5536">
              <w:rPr>
                <w:rStyle w:val="Hyperlink"/>
                <w:rFonts w:cs="Arial"/>
                <w:noProof/>
              </w:rPr>
              <w:t xml:space="preserve"> National data opt-out</w:t>
            </w:r>
            <w:r>
              <w:rPr>
                <w:noProof/>
                <w:webHidden/>
              </w:rPr>
              <w:tab/>
            </w:r>
            <w:r>
              <w:rPr>
                <w:noProof/>
                <w:webHidden/>
              </w:rPr>
              <w:fldChar w:fldCharType="begin"/>
            </w:r>
            <w:r>
              <w:rPr>
                <w:noProof/>
                <w:webHidden/>
              </w:rPr>
              <w:instrText xml:space="preserve"> PAGEREF _Toc10223069 \h </w:instrText>
            </w:r>
            <w:r>
              <w:rPr>
                <w:noProof/>
                <w:webHidden/>
              </w:rPr>
            </w:r>
            <w:r>
              <w:rPr>
                <w:noProof/>
                <w:webHidden/>
              </w:rPr>
              <w:fldChar w:fldCharType="separate"/>
            </w:r>
            <w:r>
              <w:rPr>
                <w:noProof/>
                <w:webHidden/>
              </w:rPr>
              <w:t>25</w:t>
            </w:r>
            <w:r>
              <w:rPr>
                <w:noProof/>
                <w:webHidden/>
              </w:rPr>
              <w:fldChar w:fldCharType="end"/>
            </w:r>
          </w:hyperlink>
        </w:p>
        <w:p w14:paraId="059CCDD3" w14:textId="0E0ACAFA"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70" w:history="1">
            <w:r w:rsidRPr="00FA5536">
              <w:rPr>
                <w:rStyle w:val="Hyperlink"/>
                <w:rFonts w:cs="Arial"/>
                <w:noProof/>
              </w:rPr>
              <w:t>4.8.2</w:t>
            </w:r>
            <w:r>
              <w:rPr>
                <w:rFonts w:asciiTheme="minorHAnsi" w:eastAsiaTheme="minorEastAsia" w:hAnsiTheme="minorHAnsi"/>
                <w:noProof/>
                <w:color w:val="auto"/>
                <w:sz w:val="22"/>
                <w:lang w:eastAsia="en-GB"/>
              </w:rPr>
              <w:tab/>
            </w:r>
            <w:r w:rsidRPr="00FA5536">
              <w:rPr>
                <w:rStyle w:val="Hyperlink"/>
                <w:rFonts w:cs="Arial"/>
                <w:noProof/>
              </w:rPr>
              <w:t xml:space="preserve"> Patient Objection to Processing</w:t>
            </w:r>
            <w:r>
              <w:rPr>
                <w:noProof/>
                <w:webHidden/>
              </w:rPr>
              <w:tab/>
            </w:r>
            <w:r>
              <w:rPr>
                <w:noProof/>
                <w:webHidden/>
              </w:rPr>
              <w:fldChar w:fldCharType="begin"/>
            </w:r>
            <w:r>
              <w:rPr>
                <w:noProof/>
                <w:webHidden/>
              </w:rPr>
              <w:instrText xml:space="preserve"> PAGEREF _Toc10223070 \h </w:instrText>
            </w:r>
            <w:r>
              <w:rPr>
                <w:noProof/>
                <w:webHidden/>
              </w:rPr>
            </w:r>
            <w:r>
              <w:rPr>
                <w:noProof/>
                <w:webHidden/>
              </w:rPr>
              <w:fldChar w:fldCharType="separate"/>
            </w:r>
            <w:r>
              <w:rPr>
                <w:noProof/>
                <w:webHidden/>
              </w:rPr>
              <w:t>26</w:t>
            </w:r>
            <w:r>
              <w:rPr>
                <w:noProof/>
                <w:webHidden/>
              </w:rPr>
              <w:fldChar w:fldCharType="end"/>
            </w:r>
          </w:hyperlink>
        </w:p>
        <w:p w14:paraId="6B90C67B" w14:textId="4CE59A5A"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71" w:history="1">
            <w:r w:rsidRPr="00FA5536">
              <w:rPr>
                <w:rStyle w:val="Hyperlink"/>
                <w:rFonts w:cs="Arial"/>
                <w:noProof/>
                <w:lang w:val="en-US" w:eastAsia="en-GB"/>
              </w:rPr>
              <w:t>4.9 Demonstrating Accountability</w:t>
            </w:r>
            <w:r>
              <w:rPr>
                <w:noProof/>
                <w:webHidden/>
              </w:rPr>
              <w:tab/>
            </w:r>
            <w:r>
              <w:rPr>
                <w:noProof/>
                <w:webHidden/>
              </w:rPr>
              <w:fldChar w:fldCharType="begin"/>
            </w:r>
            <w:r>
              <w:rPr>
                <w:noProof/>
                <w:webHidden/>
              </w:rPr>
              <w:instrText xml:space="preserve"> PAGEREF _Toc10223071 \h </w:instrText>
            </w:r>
            <w:r>
              <w:rPr>
                <w:noProof/>
                <w:webHidden/>
              </w:rPr>
            </w:r>
            <w:r>
              <w:rPr>
                <w:noProof/>
                <w:webHidden/>
              </w:rPr>
              <w:fldChar w:fldCharType="separate"/>
            </w:r>
            <w:r>
              <w:rPr>
                <w:noProof/>
                <w:webHidden/>
              </w:rPr>
              <w:t>28</w:t>
            </w:r>
            <w:r>
              <w:rPr>
                <w:noProof/>
                <w:webHidden/>
              </w:rPr>
              <w:fldChar w:fldCharType="end"/>
            </w:r>
          </w:hyperlink>
        </w:p>
        <w:p w14:paraId="2C1B4AAE" w14:textId="245A4415"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72" w:history="1">
            <w:r w:rsidRPr="00FA5536">
              <w:rPr>
                <w:rStyle w:val="Hyperlink"/>
                <w:rFonts w:cs="Arial"/>
                <w:noProof/>
              </w:rPr>
              <w:t>4.9.1</w:t>
            </w:r>
            <w:r>
              <w:rPr>
                <w:rFonts w:asciiTheme="minorHAnsi" w:eastAsiaTheme="minorEastAsia" w:hAnsiTheme="minorHAnsi"/>
                <w:noProof/>
                <w:color w:val="auto"/>
                <w:sz w:val="22"/>
                <w:lang w:eastAsia="en-GB"/>
              </w:rPr>
              <w:tab/>
            </w:r>
            <w:r w:rsidRPr="00FA5536">
              <w:rPr>
                <w:rStyle w:val="Hyperlink"/>
                <w:rFonts w:cs="Arial"/>
                <w:noProof/>
              </w:rPr>
              <w:t>Adopting principles by design and default</w:t>
            </w:r>
            <w:r>
              <w:rPr>
                <w:noProof/>
                <w:webHidden/>
              </w:rPr>
              <w:tab/>
            </w:r>
            <w:r>
              <w:rPr>
                <w:noProof/>
                <w:webHidden/>
              </w:rPr>
              <w:fldChar w:fldCharType="begin"/>
            </w:r>
            <w:r>
              <w:rPr>
                <w:noProof/>
                <w:webHidden/>
              </w:rPr>
              <w:instrText xml:space="preserve"> PAGEREF _Toc10223072 \h </w:instrText>
            </w:r>
            <w:r>
              <w:rPr>
                <w:noProof/>
                <w:webHidden/>
              </w:rPr>
            </w:r>
            <w:r>
              <w:rPr>
                <w:noProof/>
                <w:webHidden/>
              </w:rPr>
              <w:fldChar w:fldCharType="separate"/>
            </w:r>
            <w:r>
              <w:rPr>
                <w:noProof/>
                <w:webHidden/>
              </w:rPr>
              <w:t>28</w:t>
            </w:r>
            <w:r>
              <w:rPr>
                <w:noProof/>
                <w:webHidden/>
              </w:rPr>
              <w:fldChar w:fldCharType="end"/>
            </w:r>
          </w:hyperlink>
        </w:p>
        <w:p w14:paraId="2E0CC190" w14:textId="323A12DA" w:rsidR="00A967CD" w:rsidRDefault="00A967CD">
          <w:pPr>
            <w:pStyle w:val="TOC3"/>
            <w:tabs>
              <w:tab w:val="left" w:pos="1320"/>
              <w:tab w:val="right" w:leader="dot" w:pos="9770"/>
            </w:tabs>
            <w:rPr>
              <w:rFonts w:asciiTheme="minorHAnsi" w:eastAsiaTheme="minorEastAsia" w:hAnsiTheme="minorHAnsi"/>
              <w:noProof/>
              <w:color w:val="auto"/>
              <w:sz w:val="22"/>
              <w:lang w:eastAsia="en-GB"/>
            </w:rPr>
          </w:pPr>
          <w:hyperlink w:anchor="_Toc10223073" w:history="1">
            <w:r w:rsidRPr="00FA5536">
              <w:rPr>
                <w:rStyle w:val="Hyperlink"/>
                <w:rFonts w:cs="Arial"/>
                <w:noProof/>
              </w:rPr>
              <w:t>4.9.2</w:t>
            </w:r>
            <w:r>
              <w:rPr>
                <w:rFonts w:asciiTheme="minorHAnsi" w:eastAsiaTheme="minorEastAsia" w:hAnsiTheme="minorHAnsi"/>
                <w:noProof/>
                <w:color w:val="auto"/>
                <w:sz w:val="22"/>
                <w:lang w:eastAsia="en-GB"/>
              </w:rPr>
              <w:tab/>
            </w:r>
            <w:r w:rsidRPr="00FA5536">
              <w:rPr>
                <w:rStyle w:val="Hyperlink"/>
                <w:rFonts w:cs="Arial"/>
                <w:noProof/>
              </w:rPr>
              <w:t>Data Protection Impact Assessments (DPIA)</w:t>
            </w:r>
            <w:r>
              <w:rPr>
                <w:noProof/>
                <w:webHidden/>
              </w:rPr>
              <w:tab/>
            </w:r>
            <w:r>
              <w:rPr>
                <w:noProof/>
                <w:webHidden/>
              </w:rPr>
              <w:fldChar w:fldCharType="begin"/>
            </w:r>
            <w:r>
              <w:rPr>
                <w:noProof/>
                <w:webHidden/>
              </w:rPr>
              <w:instrText xml:space="preserve"> PAGEREF _Toc10223073 \h </w:instrText>
            </w:r>
            <w:r>
              <w:rPr>
                <w:noProof/>
                <w:webHidden/>
              </w:rPr>
            </w:r>
            <w:r>
              <w:rPr>
                <w:noProof/>
                <w:webHidden/>
              </w:rPr>
              <w:fldChar w:fldCharType="separate"/>
            </w:r>
            <w:r>
              <w:rPr>
                <w:noProof/>
                <w:webHidden/>
              </w:rPr>
              <w:t>28</w:t>
            </w:r>
            <w:r>
              <w:rPr>
                <w:noProof/>
                <w:webHidden/>
              </w:rPr>
              <w:fldChar w:fldCharType="end"/>
            </w:r>
          </w:hyperlink>
        </w:p>
        <w:p w14:paraId="3A6A8EAC" w14:textId="2DB0181B" w:rsidR="00A967CD" w:rsidRDefault="00A967CD">
          <w:pPr>
            <w:pStyle w:val="TOC1"/>
            <w:rPr>
              <w:rFonts w:asciiTheme="minorHAnsi" w:eastAsiaTheme="minorEastAsia" w:hAnsiTheme="minorHAnsi"/>
              <w:b w:val="0"/>
              <w:noProof/>
              <w:sz w:val="22"/>
              <w:lang w:eastAsia="en-GB"/>
            </w:rPr>
          </w:pPr>
          <w:hyperlink w:anchor="_Toc10223074" w:history="1">
            <w:r w:rsidRPr="00FA5536">
              <w:rPr>
                <w:rStyle w:val="Hyperlink"/>
                <w:rFonts w:cs="Arial"/>
                <w:noProof/>
              </w:rPr>
              <w:t>5.</w:t>
            </w:r>
            <w:r>
              <w:rPr>
                <w:rFonts w:asciiTheme="minorHAnsi" w:eastAsiaTheme="minorEastAsia" w:hAnsiTheme="minorHAnsi"/>
                <w:b w:val="0"/>
                <w:noProof/>
                <w:sz w:val="22"/>
                <w:lang w:eastAsia="en-GB"/>
              </w:rPr>
              <w:tab/>
            </w:r>
            <w:r w:rsidRPr="00FA5536">
              <w:rPr>
                <w:rStyle w:val="Hyperlink"/>
                <w:rFonts w:cs="Arial"/>
                <w:noProof/>
              </w:rPr>
              <w:t>Journey 1 – Individual care within a LHCR (between health and social care bodies)</w:t>
            </w:r>
            <w:r>
              <w:rPr>
                <w:noProof/>
                <w:webHidden/>
              </w:rPr>
              <w:tab/>
            </w:r>
            <w:r>
              <w:rPr>
                <w:noProof/>
                <w:webHidden/>
              </w:rPr>
              <w:fldChar w:fldCharType="begin"/>
            </w:r>
            <w:r>
              <w:rPr>
                <w:noProof/>
                <w:webHidden/>
              </w:rPr>
              <w:instrText xml:space="preserve"> PAGEREF _Toc10223074 \h </w:instrText>
            </w:r>
            <w:r>
              <w:rPr>
                <w:noProof/>
                <w:webHidden/>
              </w:rPr>
            </w:r>
            <w:r>
              <w:rPr>
                <w:noProof/>
                <w:webHidden/>
              </w:rPr>
              <w:fldChar w:fldCharType="separate"/>
            </w:r>
            <w:r>
              <w:rPr>
                <w:noProof/>
                <w:webHidden/>
              </w:rPr>
              <w:t>30</w:t>
            </w:r>
            <w:r>
              <w:rPr>
                <w:noProof/>
                <w:webHidden/>
              </w:rPr>
              <w:fldChar w:fldCharType="end"/>
            </w:r>
          </w:hyperlink>
        </w:p>
        <w:p w14:paraId="24F042C3" w14:textId="189E475D" w:rsidR="00A967CD" w:rsidRDefault="00A967CD">
          <w:pPr>
            <w:pStyle w:val="TOC1"/>
            <w:rPr>
              <w:rFonts w:asciiTheme="minorHAnsi" w:eastAsiaTheme="minorEastAsia" w:hAnsiTheme="minorHAnsi"/>
              <w:b w:val="0"/>
              <w:noProof/>
              <w:sz w:val="22"/>
              <w:lang w:eastAsia="en-GB"/>
            </w:rPr>
          </w:pPr>
          <w:hyperlink w:anchor="_Toc10223075" w:history="1">
            <w:r w:rsidRPr="00FA5536">
              <w:rPr>
                <w:rStyle w:val="Hyperlink"/>
                <w:rFonts w:cs="Arial"/>
                <w:noProof/>
              </w:rPr>
              <w:t>6.</w:t>
            </w:r>
            <w:r>
              <w:rPr>
                <w:rFonts w:asciiTheme="minorHAnsi" w:eastAsiaTheme="minorEastAsia" w:hAnsiTheme="minorHAnsi"/>
                <w:b w:val="0"/>
                <w:noProof/>
                <w:sz w:val="22"/>
                <w:lang w:eastAsia="en-GB"/>
              </w:rPr>
              <w:tab/>
            </w:r>
            <w:r w:rsidRPr="00FA5536">
              <w:rPr>
                <w:rStyle w:val="Hyperlink"/>
                <w:rFonts w:cs="Arial"/>
                <w:noProof/>
              </w:rPr>
              <w:t>Journey 2 – Individual Care Across Geographical LHCR Boundaries</w:t>
            </w:r>
            <w:r>
              <w:rPr>
                <w:noProof/>
                <w:webHidden/>
              </w:rPr>
              <w:tab/>
            </w:r>
            <w:r>
              <w:rPr>
                <w:noProof/>
                <w:webHidden/>
              </w:rPr>
              <w:fldChar w:fldCharType="begin"/>
            </w:r>
            <w:r>
              <w:rPr>
                <w:noProof/>
                <w:webHidden/>
              </w:rPr>
              <w:instrText xml:space="preserve"> PAGEREF _Toc10223075 \h </w:instrText>
            </w:r>
            <w:r>
              <w:rPr>
                <w:noProof/>
                <w:webHidden/>
              </w:rPr>
            </w:r>
            <w:r>
              <w:rPr>
                <w:noProof/>
                <w:webHidden/>
              </w:rPr>
              <w:fldChar w:fldCharType="separate"/>
            </w:r>
            <w:r>
              <w:rPr>
                <w:noProof/>
                <w:webHidden/>
              </w:rPr>
              <w:t>31</w:t>
            </w:r>
            <w:r>
              <w:rPr>
                <w:noProof/>
                <w:webHidden/>
              </w:rPr>
              <w:fldChar w:fldCharType="end"/>
            </w:r>
          </w:hyperlink>
        </w:p>
        <w:p w14:paraId="303E0A5B" w14:textId="09E0CB55" w:rsidR="00A967CD" w:rsidRDefault="00A967CD">
          <w:pPr>
            <w:pStyle w:val="TOC1"/>
            <w:rPr>
              <w:rFonts w:asciiTheme="minorHAnsi" w:eastAsiaTheme="minorEastAsia" w:hAnsiTheme="minorHAnsi"/>
              <w:b w:val="0"/>
              <w:noProof/>
              <w:sz w:val="22"/>
              <w:lang w:eastAsia="en-GB"/>
            </w:rPr>
          </w:pPr>
          <w:hyperlink w:anchor="_Toc10223076" w:history="1">
            <w:r w:rsidRPr="00FA5536">
              <w:rPr>
                <w:rStyle w:val="Hyperlink"/>
                <w:noProof/>
              </w:rPr>
              <w:t>7.</w:t>
            </w:r>
            <w:r>
              <w:rPr>
                <w:rFonts w:asciiTheme="minorHAnsi" w:eastAsiaTheme="minorEastAsia" w:hAnsiTheme="minorHAnsi"/>
                <w:b w:val="0"/>
                <w:noProof/>
                <w:sz w:val="22"/>
                <w:lang w:eastAsia="en-GB"/>
              </w:rPr>
              <w:tab/>
            </w:r>
            <w:r w:rsidRPr="00FA5536">
              <w:rPr>
                <w:rStyle w:val="Hyperlink"/>
                <w:rFonts w:cs="Arial"/>
                <w:noProof/>
              </w:rPr>
              <w:t>Journey 3 –</w:t>
            </w:r>
            <w:r w:rsidRPr="00FA5536">
              <w:rPr>
                <w:rStyle w:val="Hyperlink"/>
                <w:noProof/>
              </w:rPr>
              <w:t xml:space="preserve"> Improving health, care and services through planning and evaluation (</w:t>
            </w:r>
            <w:r w:rsidRPr="00FA5536">
              <w:rPr>
                <w:rStyle w:val="Hyperlink"/>
                <w:rFonts w:cs="Arial"/>
                <w:noProof/>
              </w:rPr>
              <w:t>Secondary Uses/Population Health Management)</w:t>
            </w:r>
            <w:r>
              <w:rPr>
                <w:noProof/>
                <w:webHidden/>
              </w:rPr>
              <w:tab/>
            </w:r>
            <w:r>
              <w:rPr>
                <w:noProof/>
                <w:webHidden/>
              </w:rPr>
              <w:fldChar w:fldCharType="begin"/>
            </w:r>
            <w:r>
              <w:rPr>
                <w:noProof/>
                <w:webHidden/>
              </w:rPr>
              <w:instrText xml:space="preserve"> PAGEREF _Toc10223076 \h </w:instrText>
            </w:r>
            <w:r>
              <w:rPr>
                <w:noProof/>
                <w:webHidden/>
              </w:rPr>
            </w:r>
            <w:r>
              <w:rPr>
                <w:noProof/>
                <w:webHidden/>
              </w:rPr>
              <w:fldChar w:fldCharType="separate"/>
            </w:r>
            <w:r>
              <w:rPr>
                <w:noProof/>
                <w:webHidden/>
              </w:rPr>
              <w:t>33</w:t>
            </w:r>
            <w:r>
              <w:rPr>
                <w:noProof/>
                <w:webHidden/>
              </w:rPr>
              <w:fldChar w:fldCharType="end"/>
            </w:r>
          </w:hyperlink>
        </w:p>
        <w:p w14:paraId="572024E4" w14:textId="7110BE9B" w:rsidR="00A967CD" w:rsidRDefault="00A967CD">
          <w:pPr>
            <w:pStyle w:val="TOC1"/>
            <w:rPr>
              <w:rFonts w:asciiTheme="minorHAnsi" w:eastAsiaTheme="minorEastAsia" w:hAnsiTheme="minorHAnsi"/>
              <w:b w:val="0"/>
              <w:noProof/>
              <w:sz w:val="22"/>
              <w:lang w:eastAsia="en-GB"/>
            </w:rPr>
          </w:pPr>
          <w:hyperlink w:anchor="_Toc10223077" w:history="1">
            <w:r w:rsidRPr="00FA5536">
              <w:rPr>
                <w:rStyle w:val="Hyperlink"/>
                <w:noProof/>
              </w:rPr>
              <w:t>8.</w:t>
            </w:r>
            <w:r>
              <w:rPr>
                <w:rFonts w:asciiTheme="minorHAnsi" w:eastAsiaTheme="minorEastAsia" w:hAnsiTheme="minorHAnsi"/>
                <w:b w:val="0"/>
                <w:noProof/>
                <w:sz w:val="22"/>
                <w:lang w:eastAsia="en-GB"/>
              </w:rPr>
              <w:tab/>
            </w:r>
            <w:r w:rsidRPr="00FA5536">
              <w:rPr>
                <w:rStyle w:val="Hyperlink"/>
                <w:noProof/>
              </w:rPr>
              <w:t>Journey 4 – Research</w:t>
            </w:r>
            <w:r>
              <w:rPr>
                <w:noProof/>
                <w:webHidden/>
              </w:rPr>
              <w:tab/>
            </w:r>
            <w:r>
              <w:rPr>
                <w:noProof/>
                <w:webHidden/>
              </w:rPr>
              <w:fldChar w:fldCharType="begin"/>
            </w:r>
            <w:r>
              <w:rPr>
                <w:noProof/>
                <w:webHidden/>
              </w:rPr>
              <w:instrText xml:space="preserve"> PAGEREF _Toc10223077 \h </w:instrText>
            </w:r>
            <w:r>
              <w:rPr>
                <w:noProof/>
                <w:webHidden/>
              </w:rPr>
            </w:r>
            <w:r>
              <w:rPr>
                <w:noProof/>
                <w:webHidden/>
              </w:rPr>
              <w:fldChar w:fldCharType="separate"/>
            </w:r>
            <w:r>
              <w:rPr>
                <w:noProof/>
                <w:webHidden/>
              </w:rPr>
              <w:t>37</w:t>
            </w:r>
            <w:r>
              <w:rPr>
                <w:noProof/>
                <w:webHidden/>
              </w:rPr>
              <w:fldChar w:fldCharType="end"/>
            </w:r>
          </w:hyperlink>
        </w:p>
        <w:p w14:paraId="073424E2" w14:textId="011B47A5" w:rsidR="00A967CD" w:rsidRDefault="00A967CD">
          <w:pPr>
            <w:pStyle w:val="TOC1"/>
            <w:rPr>
              <w:rFonts w:asciiTheme="minorHAnsi" w:eastAsiaTheme="minorEastAsia" w:hAnsiTheme="minorHAnsi"/>
              <w:b w:val="0"/>
              <w:noProof/>
              <w:sz w:val="22"/>
              <w:lang w:eastAsia="en-GB"/>
            </w:rPr>
          </w:pPr>
          <w:hyperlink w:anchor="_Toc10223078" w:history="1">
            <w:r w:rsidRPr="00FA5536">
              <w:rPr>
                <w:rStyle w:val="Hyperlink"/>
                <w:rFonts w:cs="Arial"/>
                <w:noProof/>
              </w:rPr>
              <w:t>Appendices</w:t>
            </w:r>
            <w:r>
              <w:rPr>
                <w:noProof/>
                <w:webHidden/>
              </w:rPr>
              <w:tab/>
            </w:r>
            <w:r>
              <w:rPr>
                <w:noProof/>
                <w:webHidden/>
              </w:rPr>
              <w:fldChar w:fldCharType="begin"/>
            </w:r>
            <w:r>
              <w:rPr>
                <w:noProof/>
                <w:webHidden/>
              </w:rPr>
              <w:instrText xml:space="preserve"> PAGEREF _Toc10223078 \h </w:instrText>
            </w:r>
            <w:r>
              <w:rPr>
                <w:noProof/>
                <w:webHidden/>
              </w:rPr>
            </w:r>
            <w:r>
              <w:rPr>
                <w:noProof/>
                <w:webHidden/>
              </w:rPr>
              <w:fldChar w:fldCharType="separate"/>
            </w:r>
            <w:r>
              <w:rPr>
                <w:noProof/>
                <w:webHidden/>
              </w:rPr>
              <w:t>39</w:t>
            </w:r>
            <w:r>
              <w:rPr>
                <w:noProof/>
                <w:webHidden/>
              </w:rPr>
              <w:fldChar w:fldCharType="end"/>
            </w:r>
          </w:hyperlink>
        </w:p>
        <w:p w14:paraId="7677B4B6" w14:textId="32F52B8B"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79" w:history="1">
            <w:r w:rsidRPr="00FA5536">
              <w:rPr>
                <w:rStyle w:val="Hyperlink"/>
                <w:rFonts w:cs="Arial"/>
                <w:noProof/>
              </w:rPr>
              <w:t>Appendix A - Glossary for the Information Governance Framework</w:t>
            </w:r>
            <w:r>
              <w:rPr>
                <w:noProof/>
                <w:webHidden/>
              </w:rPr>
              <w:tab/>
            </w:r>
            <w:r>
              <w:rPr>
                <w:noProof/>
                <w:webHidden/>
              </w:rPr>
              <w:fldChar w:fldCharType="begin"/>
            </w:r>
            <w:r>
              <w:rPr>
                <w:noProof/>
                <w:webHidden/>
              </w:rPr>
              <w:instrText xml:space="preserve"> PAGEREF _Toc10223079 \h </w:instrText>
            </w:r>
            <w:r>
              <w:rPr>
                <w:noProof/>
                <w:webHidden/>
              </w:rPr>
            </w:r>
            <w:r>
              <w:rPr>
                <w:noProof/>
                <w:webHidden/>
              </w:rPr>
              <w:fldChar w:fldCharType="separate"/>
            </w:r>
            <w:r>
              <w:rPr>
                <w:noProof/>
                <w:webHidden/>
              </w:rPr>
              <w:t>39</w:t>
            </w:r>
            <w:r>
              <w:rPr>
                <w:noProof/>
                <w:webHidden/>
              </w:rPr>
              <w:fldChar w:fldCharType="end"/>
            </w:r>
          </w:hyperlink>
        </w:p>
        <w:p w14:paraId="695C9650" w14:textId="023D6FC5"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0" w:history="1">
            <w:r w:rsidRPr="00FA5536">
              <w:rPr>
                <w:rStyle w:val="Hyperlink"/>
                <w:rFonts w:cs="Arial"/>
                <w:noProof/>
              </w:rPr>
              <w:t>Appendix B – Using Health Data</w:t>
            </w:r>
            <w:r>
              <w:rPr>
                <w:noProof/>
                <w:webHidden/>
              </w:rPr>
              <w:tab/>
            </w:r>
            <w:r>
              <w:rPr>
                <w:noProof/>
                <w:webHidden/>
              </w:rPr>
              <w:fldChar w:fldCharType="begin"/>
            </w:r>
            <w:r>
              <w:rPr>
                <w:noProof/>
                <w:webHidden/>
              </w:rPr>
              <w:instrText xml:space="preserve"> PAGEREF _Toc10223080 \h </w:instrText>
            </w:r>
            <w:r>
              <w:rPr>
                <w:noProof/>
                <w:webHidden/>
              </w:rPr>
            </w:r>
            <w:r>
              <w:rPr>
                <w:noProof/>
                <w:webHidden/>
              </w:rPr>
              <w:fldChar w:fldCharType="separate"/>
            </w:r>
            <w:r>
              <w:rPr>
                <w:noProof/>
                <w:webHidden/>
              </w:rPr>
              <w:t>46</w:t>
            </w:r>
            <w:r>
              <w:rPr>
                <w:noProof/>
                <w:webHidden/>
              </w:rPr>
              <w:fldChar w:fldCharType="end"/>
            </w:r>
          </w:hyperlink>
        </w:p>
        <w:p w14:paraId="1FFF5FFE" w14:textId="6A925F87"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1" w:history="1">
            <w:r w:rsidRPr="00FA5536">
              <w:rPr>
                <w:rStyle w:val="Hyperlink"/>
                <w:rFonts w:cs="Arial"/>
                <w:noProof/>
              </w:rPr>
              <w:t>Appendix C - Governance Process</w:t>
            </w:r>
            <w:r>
              <w:rPr>
                <w:noProof/>
                <w:webHidden/>
              </w:rPr>
              <w:tab/>
            </w:r>
            <w:r>
              <w:rPr>
                <w:noProof/>
                <w:webHidden/>
              </w:rPr>
              <w:fldChar w:fldCharType="begin"/>
            </w:r>
            <w:r>
              <w:rPr>
                <w:noProof/>
                <w:webHidden/>
              </w:rPr>
              <w:instrText xml:space="preserve"> PAGEREF _Toc10223081 \h </w:instrText>
            </w:r>
            <w:r>
              <w:rPr>
                <w:noProof/>
                <w:webHidden/>
              </w:rPr>
            </w:r>
            <w:r>
              <w:rPr>
                <w:noProof/>
                <w:webHidden/>
              </w:rPr>
              <w:fldChar w:fldCharType="separate"/>
            </w:r>
            <w:r>
              <w:rPr>
                <w:noProof/>
                <w:webHidden/>
              </w:rPr>
              <w:t>48</w:t>
            </w:r>
            <w:r>
              <w:rPr>
                <w:noProof/>
                <w:webHidden/>
              </w:rPr>
              <w:fldChar w:fldCharType="end"/>
            </w:r>
          </w:hyperlink>
        </w:p>
        <w:p w14:paraId="23126074" w14:textId="71E3DF40"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2" w:history="1">
            <w:r w:rsidRPr="00FA5536">
              <w:rPr>
                <w:rStyle w:val="Hyperlink"/>
                <w:rFonts w:cs="Arial"/>
                <w:noProof/>
              </w:rPr>
              <w:t>Appendix D – Definitions of Individual/Direct and Indirect Care</w:t>
            </w:r>
            <w:r>
              <w:rPr>
                <w:noProof/>
                <w:webHidden/>
              </w:rPr>
              <w:tab/>
            </w:r>
            <w:r>
              <w:rPr>
                <w:noProof/>
                <w:webHidden/>
              </w:rPr>
              <w:fldChar w:fldCharType="begin"/>
            </w:r>
            <w:r>
              <w:rPr>
                <w:noProof/>
                <w:webHidden/>
              </w:rPr>
              <w:instrText xml:space="preserve"> PAGEREF _Toc10223082 \h </w:instrText>
            </w:r>
            <w:r>
              <w:rPr>
                <w:noProof/>
                <w:webHidden/>
              </w:rPr>
            </w:r>
            <w:r>
              <w:rPr>
                <w:noProof/>
                <w:webHidden/>
              </w:rPr>
              <w:fldChar w:fldCharType="separate"/>
            </w:r>
            <w:r>
              <w:rPr>
                <w:noProof/>
                <w:webHidden/>
              </w:rPr>
              <w:t>49</w:t>
            </w:r>
            <w:r>
              <w:rPr>
                <w:noProof/>
                <w:webHidden/>
              </w:rPr>
              <w:fldChar w:fldCharType="end"/>
            </w:r>
          </w:hyperlink>
        </w:p>
        <w:p w14:paraId="130AF911" w14:textId="268F9DE4"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3" w:history="1">
            <w:r w:rsidRPr="00FA5536">
              <w:rPr>
                <w:rStyle w:val="Hyperlink"/>
                <w:rFonts w:cs="Arial"/>
                <w:noProof/>
              </w:rPr>
              <w:t>Appendix E – Lawful Conditions for Processing</w:t>
            </w:r>
            <w:r>
              <w:rPr>
                <w:noProof/>
                <w:webHidden/>
              </w:rPr>
              <w:tab/>
            </w:r>
            <w:r>
              <w:rPr>
                <w:noProof/>
                <w:webHidden/>
              </w:rPr>
              <w:fldChar w:fldCharType="begin"/>
            </w:r>
            <w:r>
              <w:rPr>
                <w:noProof/>
                <w:webHidden/>
              </w:rPr>
              <w:instrText xml:space="preserve"> PAGEREF _Toc10223083 \h </w:instrText>
            </w:r>
            <w:r>
              <w:rPr>
                <w:noProof/>
                <w:webHidden/>
              </w:rPr>
            </w:r>
            <w:r>
              <w:rPr>
                <w:noProof/>
                <w:webHidden/>
              </w:rPr>
              <w:fldChar w:fldCharType="separate"/>
            </w:r>
            <w:r>
              <w:rPr>
                <w:noProof/>
                <w:webHidden/>
              </w:rPr>
              <w:t>50</w:t>
            </w:r>
            <w:r>
              <w:rPr>
                <w:noProof/>
                <w:webHidden/>
              </w:rPr>
              <w:fldChar w:fldCharType="end"/>
            </w:r>
          </w:hyperlink>
        </w:p>
        <w:p w14:paraId="2701BA20" w14:textId="6D4F9040"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4" w:history="1">
            <w:r w:rsidRPr="00FA5536">
              <w:rPr>
                <w:rStyle w:val="Hyperlink"/>
                <w:rFonts w:cs="Arial"/>
                <w:noProof/>
              </w:rPr>
              <w:t>Appendix F – Common Law</w:t>
            </w:r>
            <w:r>
              <w:rPr>
                <w:noProof/>
                <w:webHidden/>
              </w:rPr>
              <w:tab/>
            </w:r>
            <w:r>
              <w:rPr>
                <w:noProof/>
                <w:webHidden/>
              </w:rPr>
              <w:fldChar w:fldCharType="begin"/>
            </w:r>
            <w:r>
              <w:rPr>
                <w:noProof/>
                <w:webHidden/>
              </w:rPr>
              <w:instrText xml:space="preserve"> PAGEREF _Toc10223084 \h </w:instrText>
            </w:r>
            <w:r>
              <w:rPr>
                <w:noProof/>
                <w:webHidden/>
              </w:rPr>
            </w:r>
            <w:r>
              <w:rPr>
                <w:noProof/>
                <w:webHidden/>
              </w:rPr>
              <w:fldChar w:fldCharType="separate"/>
            </w:r>
            <w:r>
              <w:rPr>
                <w:noProof/>
                <w:webHidden/>
              </w:rPr>
              <w:t>54</w:t>
            </w:r>
            <w:r>
              <w:rPr>
                <w:noProof/>
                <w:webHidden/>
              </w:rPr>
              <w:fldChar w:fldCharType="end"/>
            </w:r>
          </w:hyperlink>
        </w:p>
        <w:p w14:paraId="084E12E7" w14:textId="65493FEF"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5" w:history="1">
            <w:r w:rsidRPr="00FA5536">
              <w:rPr>
                <w:rStyle w:val="Hyperlink"/>
                <w:rFonts w:cs="Arial"/>
                <w:noProof/>
              </w:rPr>
              <w:t>Appendix G - Consent and applicable GDPR Recitals</w:t>
            </w:r>
            <w:r>
              <w:rPr>
                <w:noProof/>
                <w:webHidden/>
              </w:rPr>
              <w:tab/>
            </w:r>
            <w:r>
              <w:rPr>
                <w:noProof/>
                <w:webHidden/>
              </w:rPr>
              <w:fldChar w:fldCharType="begin"/>
            </w:r>
            <w:r>
              <w:rPr>
                <w:noProof/>
                <w:webHidden/>
              </w:rPr>
              <w:instrText xml:space="preserve"> PAGEREF _Toc10223085 \h </w:instrText>
            </w:r>
            <w:r>
              <w:rPr>
                <w:noProof/>
                <w:webHidden/>
              </w:rPr>
            </w:r>
            <w:r>
              <w:rPr>
                <w:noProof/>
                <w:webHidden/>
              </w:rPr>
              <w:fldChar w:fldCharType="separate"/>
            </w:r>
            <w:r>
              <w:rPr>
                <w:noProof/>
                <w:webHidden/>
              </w:rPr>
              <w:t>55</w:t>
            </w:r>
            <w:r>
              <w:rPr>
                <w:noProof/>
                <w:webHidden/>
              </w:rPr>
              <w:fldChar w:fldCharType="end"/>
            </w:r>
          </w:hyperlink>
        </w:p>
        <w:p w14:paraId="3637E104" w14:textId="0D0661B7"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6" w:history="1">
            <w:r w:rsidRPr="00FA5536">
              <w:rPr>
                <w:rStyle w:val="Hyperlink"/>
                <w:rFonts w:cs="Arial"/>
                <w:noProof/>
              </w:rPr>
              <w:t>Appendix H – Supporting Tools and Templates</w:t>
            </w:r>
            <w:r>
              <w:rPr>
                <w:noProof/>
                <w:webHidden/>
              </w:rPr>
              <w:tab/>
            </w:r>
            <w:r>
              <w:rPr>
                <w:noProof/>
                <w:webHidden/>
              </w:rPr>
              <w:fldChar w:fldCharType="begin"/>
            </w:r>
            <w:r>
              <w:rPr>
                <w:noProof/>
                <w:webHidden/>
              </w:rPr>
              <w:instrText xml:space="preserve"> PAGEREF _Toc10223086 \h </w:instrText>
            </w:r>
            <w:r>
              <w:rPr>
                <w:noProof/>
                <w:webHidden/>
              </w:rPr>
            </w:r>
            <w:r>
              <w:rPr>
                <w:noProof/>
                <w:webHidden/>
              </w:rPr>
              <w:fldChar w:fldCharType="separate"/>
            </w:r>
            <w:r>
              <w:rPr>
                <w:noProof/>
                <w:webHidden/>
              </w:rPr>
              <w:t>56</w:t>
            </w:r>
            <w:r>
              <w:rPr>
                <w:noProof/>
                <w:webHidden/>
              </w:rPr>
              <w:fldChar w:fldCharType="end"/>
            </w:r>
          </w:hyperlink>
        </w:p>
        <w:p w14:paraId="18C019AB" w14:textId="7900DD67"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7" w:history="1">
            <w:r w:rsidRPr="00FA5536">
              <w:rPr>
                <w:rStyle w:val="Hyperlink"/>
                <w:rFonts w:cs="Arial"/>
                <w:noProof/>
              </w:rPr>
              <w:t>Appendix I – GDPR Article 21 – Right to Object</w:t>
            </w:r>
            <w:r>
              <w:rPr>
                <w:noProof/>
                <w:webHidden/>
              </w:rPr>
              <w:tab/>
            </w:r>
            <w:r>
              <w:rPr>
                <w:noProof/>
                <w:webHidden/>
              </w:rPr>
              <w:fldChar w:fldCharType="begin"/>
            </w:r>
            <w:r>
              <w:rPr>
                <w:noProof/>
                <w:webHidden/>
              </w:rPr>
              <w:instrText xml:space="preserve"> PAGEREF _Toc10223087 \h </w:instrText>
            </w:r>
            <w:r>
              <w:rPr>
                <w:noProof/>
                <w:webHidden/>
              </w:rPr>
            </w:r>
            <w:r>
              <w:rPr>
                <w:noProof/>
                <w:webHidden/>
              </w:rPr>
              <w:fldChar w:fldCharType="separate"/>
            </w:r>
            <w:r>
              <w:rPr>
                <w:noProof/>
                <w:webHidden/>
              </w:rPr>
              <w:t>57</w:t>
            </w:r>
            <w:r>
              <w:rPr>
                <w:noProof/>
                <w:webHidden/>
              </w:rPr>
              <w:fldChar w:fldCharType="end"/>
            </w:r>
          </w:hyperlink>
        </w:p>
        <w:p w14:paraId="1CA565FA" w14:textId="5DFB205C"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8" w:history="1">
            <w:r w:rsidRPr="00FA5536">
              <w:rPr>
                <w:rStyle w:val="Hyperlink"/>
                <w:rFonts w:cs="Arial"/>
                <w:noProof/>
              </w:rPr>
              <w:t>Appendix J – GDPR Article 26 – Joint Controllers</w:t>
            </w:r>
            <w:r>
              <w:rPr>
                <w:noProof/>
                <w:webHidden/>
              </w:rPr>
              <w:tab/>
            </w:r>
            <w:r>
              <w:rPr>
                <w:noProof/>
                <w:webHidden/>
              </w:rPr>
              <w:fldChar w:fldCharType="begin"/>
            </w:r>
            <w:r>
              <w:rPr>
                <w:noProof/>
                <w:webHidden/>
              </w:rPr>
              <w:instrText xml:space="preserve"> PAGEREF _Toc10223088 \h </w:instrText>
            </w:r>
            <w:r>
              <w:rPr>
                <w:noProof/>
                <w:webHidden/>
              </w:rPr>
            </w:r>
            <w:r>
              <w:rPr>
                <w:noProof/>
                <w:webHidden/>
              </w:rPr>
              <w:fldChar w:fldCharType="separate"/>
            </w:r>
            <w:r>
              <w:rPr>
                <w:noProof/>
                <w:webHidden/>
              </w:rPr>
              <w:t>58</w:t>
            </w:r>
            <w:r>
              <w:rPr>
                <w:noProof/>
                <w:webHidden/>
              </w:rPr>
              <w:fldChar w:fldCharType="end"/>
            </w:r>
          </w:hyperlink>
        </w:p>
        <w:p w14:paraId="1045EBC9" w14:textId="7813D8AB"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89" w:history="1">
            <w:r w:rsidRPr="00FA5536">
              <w:rPr>
                <w:rStyle w:val="Hyperlink"/>
                <w:rFonts w:cs="Arial"/>
                <w:noProof/>
              </w:rPr>
              <w:t>Appendix K – Security Requirements</w:t>
            </w:r>
            <w:r>
              <w:rPr>
                <w:noProof/>
                <w:webHidden/>
              </w:rPr>
              <w:tab/>
            </w:r>
            <w:r>
              <w:rPr>
                <w:noProof/>
                <w:webHidden/>
              </w:rPr>
              <w:fldChar w:fldCharType="begin"/>
            </w:r>
            <w:r>
              <w:rPr>
                <w:noProof/>
                <w:webHidden/>
              </w:rPr>
              <w:instrText xml:space="preserve"> PAGEREF _Toc10223089 \h </w:instrText>
            </w:r>
            <w:r>
              <w:rPr>
                <w:noProof/>
                <w:webHidden/>
              </w:rPr>
            </w:r>
            <w:r>
              <w:rPr>
                <w:noProof/>
                <w:webHidden/>
              </w:rPr>
              <w:fldChar w:fldCharType="separate"/>
            </w:r>
            <w:r>
              <w:rPr>
                <w:noProof/>
                <w:webHidden/>
              </w:rPr>
              <w:t>60</w:t>
            </w:r>
            <w:r>
              <w:rPr>
                <w:noProof/>
                <w:webHidden/>
              </w:rPr>
              <w:fldChar w:fldCharType="end"/>
            </w:r>
          </w:hyperlink>
        </w:p>
        <w:p w14:paraId="657327D4" w14:textId="25BE5853"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0" w:history="1">
            <w:r w:rsidRPr="00FA5536">
              <w:rPr>
                <w:rStyle w:val="Hyperlink"/>
                <w:noProof/>
              </w:rPr>
              <w:t>Appendix L - 2017/19 NHS Standard Contract</w:t>
            </w:r>
            <w:r>
              <w:rPr>
                <w:noProof/>
                <w:webHidden/>
              </w:rPr>
              <w:tab/>
            </w:r>
            <w:r>
              <w:rPr>
                <w:noProof/>
                <w:webHidden/>
              </w:rPr>
              <w:fldChar w:fldCharType="begin"/>
            </w:r>
            <w:r>
              <w:rPr>
                <w:noProof/>
                <w:webHidden/>
              </w:rPr>
              <w:instrText xml:space="preserve"> PAGEREF _Toc10223090 \h </w:instrText>
            </w:r>
            <w:r>
              <w:rPr>
                <w:noProof/>
                <w:webHidden/>
              </w:rPr>
            </w:r>
            <w:r>
              <w:rPr>
                <w:noProof/>
                <w:webHidden/>
              </w:rPr>
              <w:fldChar w:fldCharType="separate"/>
            </w:r>
            <w:r>
              <w:rPr>
                <w:noProof/>
                <w:webHidden/>
              </w:rPr>
              <w:t>61</w:t>
            </w:r>
            <w:r>
              <w:rPr>
                <w:noProof/>
                <w:webHidden/>
              </w:rPr>
              <w:fldChar w:fldCharType="end"/>
            </w:r>
          </w:hyperlink>
        </w:p>
        <w:p w14:paraId="0DCBD77F" w14:textId="6CBF298F"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1" w:history="1">
            <w:r w:rsidRPr="00FA5536">
              <w:rPr>
                <w:rStyle w:val="Hyperlink"/>
                <w:noProof/>
              </w:rPr>
              <w:t>Appendix M - Assurance Checkpoint Matrix (for completion by the LHCREs)</w:t>
            </w:r>
            <w:r>
              <w:rPr>
                <w:noProof/>
                <w:webHidden/>
              </w:rPr>
              <w:tab/>
            </w:r>
            <w:r>
              <w:rPr>
                <w:noProof/>
                <w:webHidden/>
              </w:rPr>
              <w:fldChar w:fldCharType="begin"/>
            </w:r>
            <w:r>
              <w:rPr>
                <w:noProof/>
                <w:webHidden/>
              </w:rPr>
              <w:instrText xml:space="preserve"> PAGEREF _Toc10223091 \h </w:instrText>
            </w:r>
            <w:r>
              <w:rPr>
                <w:noProof/>
                <w:webHidden/>
              </w:rPr>
            </w:r>
            <w:r>
              <w:rPr>
                <w:noProof/>
                <w:webHidden/>
              </w:rPr>
              <w:fldChar w:fldCharType="separate"/>
            </w:r>
            <w:r>
              <w:rPr>
                <w:noProof/>
                <w:webHidden/>
              </w:rPr>
              <w:t>62</w:t>
            </w:r>
            <w:r>
              <w:rPr>
                <w:noProof/>
                <w:webHidden/>
              </w:rPr>
              <w:fldChar w:fldCharType="end"/>
            </w:r>
          </w:hyperlink>
        </w:p>
        <w:p w14:paraId="6016D0B1" w14:textId="5392263C"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2" w:history="1">
            <w:r w:rsidRPr="00FA5536">
              <w:rPr>
                <w:rStyle w:val="Hyperlink"/>
                <w:rFonts w:cs="Arial"/>
                <w:noProof/>
              </w:rPr>
              <w:t>Appendix N - Individual Rights under GDPR - Art. 12 - 23</w:t>
            </w:r>
            <w:r>
              <w:rPr>
                <w:noProof/>
                <w:webHidden/>
              </w:rPr>
              <w:tab/>
            </w:r>
            <w:r>
              <w:rPr>
                <w:noProof/>
                <w:webHidden/>
              </w:rPr>
              <w:fldChar w:fldCharType="begin"/>
            </w:r>
            <w:r>
              <w:rPr>
                <w:noProof/>
                <w:webHidden/>
              </w:rPr>
              <w:instrText xml:space="preserve"> PAGEREF _Toc10223092 \h </w:instrText>
            </w:r>
            <w:r>
              <w:rPr>
                <w:noProof/>
                <w:webHidden/>
              </w:rPr>
            </w:r>
            <w:r>
              <w:rPr>
                <w:noProof/>
                <w:webHidden/>
              </w:rPr>
              <w:fldChar w:fldCharType="separate"/>
            </w:r>
            <w:r>
              <w:rPr>
                <w:noProof/>
                <w:webHidden/>
              </w:rPr>
              <w:t>67</w:t>
            </w:r>
            <w:r>
              <w:rPr>
                <w:noProof/>
                <w:webHidden/>
              </w:rPr>
              <w:fldChar w:fldCharType="end"/>
            </w:r>
          </w:hyperlink>
        </w:p>
        <w:p w14:paraId="665100EC" w14:textId="4D163DEE"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3" w:history="1">
            <w:r w:rsidRPr="00FA5536">
              <w:rPr>
                <w:rStyle w:val="Hyperlink"/>
                <w:rFonts w:cs="Arial"/>
                <w:noProof/>
              </w:rPr>
              <w:t>Appendix O – Data Breach Management</w:t>
            </w:r>
            <w:r>
              <w:rPr>
                <w:noProof/>
                <w:webHidden/>
              </w:rPr>
              <w:tab/>
            </w:r>
            <w:r>
              <w:rPr>
                <w:noProof/>
                <w:webHidden/>
              </w:rPr>
              <w:fldChar w:fldCharType="begin"/>
            </w:r>
            <w:r>
              <w:rPr>
                <w:noProof/>
                <w:webHidden/>
              </w:rPr>
              <w:instrText xml:space="preserve"> PAGEREF _Toc10223093 \h </w:instrText>
            </w:r>
            <w:r>
              <w:rPr>
                <w:noProof/>
                <w:webHidden/>
              </w:rPr>
            </w:r>
            <w:r>
              <w:rPr>
                <w:noProof/>
                <w:webHidden/>
              </w:rPr>
              <w:fldChar w:fldCharType="separate"/>
            </w:r>
            <w:r>
              <w:rPr>
                <w:noProof/>
                <w:webHidden/>
              </w:rPr>
              <w:t>70</w:t>
            </w:r>
            <w:r>
              <w:rPr>
                <w:noProof/>
                <w:webHidden/>
              </w:rPr>
              <w:fldChar w:fldCharType="end"/>
            </w:r>
          </w:hyperlink>
        </w:p>
        <w:p w14:paraId="4C9D49C8" w14:textId="4FED95B1"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4" w:history="1">
            <w:r w:rsidRPr="00FA5536">
              <w:rPr>
                <w:rStyle w:val="Hyperlink"/>
                <w:rFonts w:cs="Arial"/>
                <w:noProof/>
              </w:rPr>
              <w:t>Appendix P – Role Based Access Control (RBAC)</w:t>
            </w:r>
            <w:r>
              <w:rPr>
                <w:noProof/>
                <w:webHidden/>
              </w:rPr>
              <w:tab/>
            </w:r>
            <w:r>
              <w:rPr>
                <w:noProof/>
                <w:webHidden/>
              </w:rPr>
              <w:fldChar w:fldCharType="begin"/>
            </w:r>
            <w:r>
              <w:rPr>
                <w:noProof/>
                <w:webHidden/>
              </w:rPr>
              <w:instrText xml:space="preserve"> PAGEREF _Toc10223094 \h </w:instrText>
            </w:r>
            <w:r>
              <w:rPr>
                <w:noProof/>
                <w:webHidden/>
              </w:rPr>
            </w:r>
            <w:r>
              <w:rPr>
                <w:noProof/>
                <w:webHidden/>
              </w:rPr>
              <w:fldChar w:fldCharType="separate"/>
            </w:r>
            <w:r>
              <w:rPr>
                <w:noProof/>
                <w:webHidden/>
              </w:rPr>
              <w:t>72</w:t>
            </w:r>
            <w:r>
              <w:rPr>
                <w:noProof/>
                <w:webHidden/>
              </w:rPr>
              <w:fldChar w:fldCharType="end"/>
            </w:r>
          </w:hyperlink>
        </w:p>
        <w:p w14:paraId="492454A6" w14:textId="3333C7AB" w:rsidR="00A967CD" w:rsidRDefault="00A967CD">
          <w:pPr>
            <w:pStyle w:val="TOC2"/>
            <w:tabs>
              <w:tab w:val="right" w:leader="dot" w:pos="9770"/>
            </w:tabs>
            <w:rPr>
              <w:rFonts w:asciiTheme="minorHAnsi" w:eastAsiaTheme="minorEastAsia" w:hAnsiTheme="minorHAnsi"/>
              <w:b w:val="0"/>
              <w:noProof/>
              <w:color w:val="auto"/>
              <w:sz w:val="22"/>
              <w:lang w:eastAsia="en-GB"/>
            </w:rPr>
          </w:pPr>
          <w:hyperlink w:anchor="_Toc10223095" w:history="1">
            <w:r w:rsidRPr="00FA5536">
              <w:rPr>
                <w:rStyle w:val="Hyperlink"/>
                <w:rFonts w:cs="Arial"/>
                <w:noProof/>
              </w:rPr>
              <w:t>Appendix Q – Patient Preferences Template Text</w:t>
            </w:r>
            <w:r>
              <w:rPr>
                <w:noProof/>
                <w:webHidden/>
              </w:rPr>
              <w:tab/>
            </w:r>
            <w:r>
              <w:rPr>
                <w:noProof/>
                <w:webHidden/>
              </w:rPr>
              <w:fldChar w:fldCharType="begin"/>
            </w:r>
            <w:r>
              <w:rPr>
                <w:noProof/>
                <w:webHidden/>
              </w:rPr>
              <w:instrText xml:space="preserve"> PAGEREF _Toc10223095 \h </w:instrText>
            </w:r>
            <w:r>
              <w:rPr>
                <w:noProof/>
                <w:webHidden/>
              </w:rPr>
            </w:r>
            <w:r>
              <w:rPr>
                <w:noProof/>
                <w:webHidden/>
              </w:rPr>
              <w:fldChar w:fldCharType="separate"/>
            </w:r>
            <w:r>
              <w:rPr>
                <w:noProof/>
                <w:webHidden/>
              </w:rPr>
              <w:t>75</w:t>
            </w:r>
            <w:r>
              <w:rPr>
                <w:noProof/>
                <w:webHidden/>
              </w:rPr>
              <w:fldChar w:fldCharType="end"/>
            </w:r>
          </w:hyperlink>
        </w:p>
        <w:p w14:paraId="05A7AE73" w14:textId="04FC14D7" w:rsidR="00186592" w:rsidRPr="00032CF3" w:rsidRDefault="00CD26DB" w:rsidP="00186592">
          <w:pPr>
            <w:tabs>
              <w:tab w:val="right" w:leader="dot" w:pos="9781"/>
              <w:tab w:val="right" w:leader="dot" w:pos="10065"/>
            </w:tabs>
            <w:rPr>
              <w:rFonts w:cs="Arial"/>
              <w:b/>
              <w:noProof/>
            </w:rPr>
          </w:pPr>
          <w:r w:rsidRPr="00032CF3">
            <w:rPr>
              <w:rFonts w:eastAsiaTheme="minorHAnsi" w:cs="Arial"/>
              <w:bCs w:val="0"/>
              <w:noProof/>
              <w:sz w:val="28"/>
              <w:szCs w:val="22"/>
            </w:rPr>
            <w:fldChar w:fldCharType="end"/>
          </w:r>
        </w:p>
      </w:sdtContent>
    </w:sdt>
    <w:p w14:paraId="0CDC2329" w14:textId="77777777" w:rsidR="00186592" w:rsidRPr="00032CF3" w:rsidRDefault="00186592" w:rsidP="00186592">
      <w:pPr>
        <w:spacing w:before="0" w:after="160" w:line="259" w:lineRule="auto"/>
        <w:rPr>
          <w:rFonts w:cs="Arial"/>
          <w:color w:val="FF0000"/>
        </w:rPr>
      </w:pPr>
      <w:r w:rsidRPr="00032CF3">
        <w:rPr>
          <w:rFonts w:cs="Arial"/>
          <w:color w:val="FF0000"/>
        </w:rPr>
        <w:br w:type="page"/>
      </w:r>
      <w:bookmarkStart w:id="3" w:name="_GoBack"/>
      <w:bookmarkEnd w:id="3"/>
    </w:p>
    <w:p w14:paraId="743D83E7" w14:textId="77777777" w:rsidR="00186592" w:rsidRPr="00032CF3" w:rsidRDefault="00186592" w:rsidP="00186592">
      <w:pPr>
        <w:pStyle w:val="Heading1"/>
        <w:numPr>
          <w:ilvl w:val="0"/>
          <w:numId w:val="0"/>
        </w:numPr>
        <w:rPr>
          <w:rFonts w:cs="Arial"/>
          <w:szCs w:val="72"/>
        </w:rPr>
      </w:pPr>
      <w:bookmarkStart w:id="4" w:name="_Toc10223044"/>
      <w:r w:rsidRPr="00032CF3">
        <w:rPr>
          <w:rFonts w:cs="Arial"/>
          <w:szCs w:val="72"/>
        </w:rPr>
        <w:lastRenderedPageBreak/>
        <w:t>Executive Summary</w:t>
      </w:r>
      <w:bookmarkEnd w:id="4"/>
    </w:p>
    <w:p w14:paraId="76FA34F8" w14:textId="77777777" w:rsidR="0074068D" w:rsidRDefault="00186592" w:rsidP="00241D06">
      <w:pPr>
        <w:spacing w:before="0" w:after="0" w:line="276" w:lineRule="auto"/>
        <w:jc w:val="both"/>
        <w:rPr>
          <w:rFonts w:cs="Arial"/>
          <w:szCs w:val="24"/>
        </w:rPr>
      </w:pPr>
      <w:r w:rsidRPr="00032CF3">
        <w:rPr>
          <w:rFonts w:cs="Arial"/>
          <w:szCs w:val="24"/>
        </w:rPr>
        <w:t xml:space="preserve">The aim of the Local Health and Care Record (LHCR) programme is to </w:t>
      </w:r>
      <w:r w:rsidR="00833F1B">
        <w:rPr>
          <w:rFonts w:cs="Arial"/>
          <w:szCs w:val="24"/>
        </w:rPr>
        <w:t xml:space="preserve">help local organisations </w:t>
      </w:r>
      <w:r w:rsidR="0074068D">
        <w:rPr>
          <w:rFonts w:cs="Arial"/>
          <w:szCs w:val="24"/>
        </w:rPr>
        <w:t>move from today's position where each health and care organisation holds separate records for the individuals they care for, to one where an indiv</w:t>
      </w:r>
      <w:r w:rsidR="00E06D16">
        <w:rPr>
          <w:rFonts w:cs="Arial"/>
          <w:szCs w:val="24"/>
        </w:rPr>
        <w:t>idual's records are connected</w:t>
      </w:r>
      <w:r w:rsidR="0074068D">
        <w:rPr>
          <w:rFonts w:cs="Arial"/>
          <w:szCs w:val="24"/>
        </w:rPr>
        <w:t xml:space="preserve"> from across the health and care system.  </w:t>
      </w:r>
    </w:p>
    <w:p w14:paraId="77CEF844" w14:textId="77777777" w:rsidR="0074068D" w:rsidRDefault="0074068D" w:rsidP="00241D06">
      <w:pPr>
        <w:spacing w:before="0" w:after="0" w:line="276" w:lineRule="auto"/>
        <w:jc w:val="both"/>
        <w:rPr>
          <w:rFonts w:cs="Arial"/>
          <w:szCs w:val="24"/>
        </w:rPr>
      </w:pPr>
    </w:p>
    <w:p w14:paraId="5A173160" w14:textId="77777777" w:rsidR="006B5E92" w:rsidRDefault="0074068D" w:rsidP="00241D06">
      <w:pPr>
        <w:spacing w:before="0" w:after="0" w:line="276" w:lineRule="auto"/>
        <w:jc w:val="both"/>
        <w:rPr>
          <w:rFonts w:cs="Arial"/>
          <w:szCs w:val="24"/>
        </w:rPr>
      </w:pPr>
      <w:r>
        <w:rPr>
          <w:rFonts w:cs="Arial"/>
          <w:szCs w:val="24"/>
        </w:rPr>
        <w:t xml:space="preserve">This will help health and care professionals to share information safely and securely as the people they care for move between different parts of the NHS and social care.  It will also enable individuals to be able to access their record irrespective of which part of the health and care system that has provided them care.  </w:t>
      </w:r>
    </w:p>
    <w:p w14:paraId="46CE26A3" w14:textId="77777777" w:rsidR="006B5E92" w:rsidRDefault="006B5E92" w:rsidP="00241D06">
      <w:pPr>
        <w:spacing w:before="0" w:after="0" w:line="276" w:lineRule="auto"/>
        <w:jc w:val="both"/>
        <w:rPr>
          <w:rFonts w:cs="Arial"/>
          <w:szCs w:val="24"/>
        </w:rPr>
      </w:pPr>
    </w:p>
    <w:p w14:paraId="6DAD113B" w14:textId="77777777" w:rsidR="00501E40" w:rsidRDefault="0074068D" w:rsidP="00241D06">
      <w:pPr>
        <w:spacing w:before="0" w:after="0" w:line="276" w:lineRule="auto"/>
        <w:jc w:val="both"/>
        <w:rPr>
          <w:rFonts w:cs="Arial"/>
          <w:szCs w:val="24"/>
        </w:rPr>
      </w:pPr>
      <w:r>
        <w:rPr>
          <w:rFonts w:cs="Arial"/>
          <w:szCs w:val="24"/>
        </w:rPr>
        <w:t xml:space="preserve">The content of the </w:t>
      </w:r>
      <w:r w:rsidR="009E0062">
        <w:rPr>
          <w:rFonts w:cs="Arial"/>
          <w:szCs w:val="24"/>
        </w:rPr>
        <w:t xml:space="preserve">core </w:t>
      </w:r>
      <w:r>
        <w:rPr>
          <w:rFonts w:cs="Arial"/>
          <w:szCs w:val="24"/>
        </w:rPr>
        <w:t>record will be based on professionally agreed standards developed by the Professional</w:t>
      </w:r>
      <w:r w:rsidR="00907D33">
        <w:rPr>
          <w:rFonts w:cs="Arial"/>
          <w:szCs w:val="24"/>
        </w:rPr>
        <w:t xml:space="preserve"> </w:t>
      </w:r>
      <w:r w:rsidR="00186592" w:rsidRPr="00032CF3">
        <w:rPr>
          <w:rFonts w:cs="Arial"/>
          <w:szCs w:val="24"/>
        </w:rPr>
        <w:t>Records Standards Body</w:t>
      </w:r>
      <w:r w:rsidR="00907D33">
        <w:rPr>
          <w:rFonts w:cs="Arial"/>
          <w:szCs w:val="24"/>
        </w:rPr>
        <w:t xml:space="preserve"> </w:t>
      </w:r>
      <w:r w:rsidR="00637226" w:rsidRPr="00032CF3">
        <w:rPr>
          <w:rFonts w:cs="Arial"/>
          <w:szCs w:val="24"/>
        </w:rPr>
        <w:t>(PRSB)</w:t>
      </w:r>
      <w:r w:rsidR="00A63F37">
        <w:rPr>
          <w:rFonts w:cs="Arial"/>
          <w:szCs w:val="24"/>
        </w:rPr>
        <w:t xml:space="preserve">.  </w:t>
      </w:r>
      <w:r>
        <w:rPr>
          <w:rFonts w:cs="Arial"/>
          <w:szCs w:val="24"/>
        </w:rPr>
        <w:t>P</w:t>
      </w:r>
      <w:r w:rsidR="00501E40">
        <w:rPr>
          <w:rFonts w:cs="Arial"/>
          <w:szCs w:val="24"/>
        </w:rPr>
        <w:t>rofessionals across a wider ra</w:t>
      </w:r>
      <w:r w:rsidR="00E06D16">
        <w:rPr>
          <w:rFonts w:cs="Arial"/>
          <w:szCs w:val="24"/>
        </w:rPr>
        <w:t>n</w:t>
      </w:r>
      <w:r w:rsidR="00501E40">
        <w:rPr>
          <w:rFonts w:cs="Arial"/>
          <w:szCs w:val="24"/>
        </w:rPr>
        <w:t>ge of different sectors, as well as patients and carers</w:t>
      </w:r>
      <w:r>
        <w:rPr>
          <w:rFonts w:cs="Arial"/>
          <w:szCs w:val="24"/>
        </w:rPr>
        <w:t xml:space="preserve">, </w:t>
      </w:r>
      <w:r w:rsidR="00907D33">
        <w:rPr>
          <w:rFonts w:cs="Arial"/>
          <w:szCs w:val="24"/>
        </w:rPr>
        <w:t xml:space="preserve">have informed what and how information should be recorded at various points of care, from birth, through life events, maternity and end of life. </w:t>
      </w:r>
      <w:r w:rsidR="00186592" w:rsidRPr="00032CF3">
        <w:rPr>
          <w:rFonts w:cs="Arial"/>
          <w:szCs w:val="24"/>
        </w:rPr>
        <w:t> </w:t>
      </w:r>
      <w:r>
        <w:rPr>
          <w:rFonts w:cs="Arial"/>
          <w:szCs w:val="24"/>
        </w:rPr>
        <w:t xml:space="preserve">  </w:t>
      </w:r>
    </w:p>
    <w:p w14:paraId="237AF25B" w14:textId="77777777" w:rsidR="00E06D16" w:rsidRDefault="00E06D16" w:rsidP="00241D06">
      <w:pPr>
        <w:spacing w:before="0" w:after="0" w:line="276" w:lineRule="auto"/>
        <w:jc w:val="both"/>
        <w:rPr>
          <w:rFonts w:cs="Arial"/>
          <w:szCs w:val="24"/>
        </w:rPr>
      </w:pPr>
    </w:p>
    <w:p w14:paraId="3EB05284" w14:textId="77777777" w:rsidR="00501E40" w:rsidRDefault="00501E40" w:rsidP="00241D06">
      <w:pPr>
        <w:spacing w:before="0" w:after="0" w:line="276" w:lineRule="auto"/>
        <w:jc w:val="both"/>
        <w:rPr>
          <w:rFonts w:cs="Arial"/>
          <w:szCs w:val="24"/>
        </w:rPr>
      </w:pPr>
      <w:r>
        <w:rPr>
          <w:rFonts w:cs="Arial"/>
          <w:szCs w:val="24"/>
        </w:rPr>
        <w:t>The approach</w:t>
      </w:r>
      <w:r w:rsidR="00186592" w:rsidRPr="00032CF3">
        <w:rPr>
          <w:rFonts w:cs="Arial"/>
          <w:szCs w:val="24"/>
        </w:rPr>
        <w:t xml:space="preserve"> recognises the variance that we currently have in how data is captured and represented in local systems</w:t>
      </w:r>
      <w:r w:rsidR="004F2113" w:rsidRPr="00032CF3">
        <w:rPr>
          <w:rFonts w:cs="Arial"/>
          <w:szCs w:val="24"/>
        </w:rPr>
        <w:t>.</w:t>
      </w:r>
      <w:r w:rsidR="00186592" w:rsidRPr="00032CF3">
        <w:rPr>
          <w:rFonts w:cs="Arial"/>
          <w:szCs w:val="24"/>
        </w:rPr>
        <w:t xml:space="preserve"> </w:t>
      </w:r>
      <w:r w:rsidR="004F2113" w:rsidRPr="00032CF3">
        <w:rPr>
          <w:rFonts w:cs="Arial"/>
          <w:szCs w:val="24"/>
        </w:rPr>
        <w:t xml:space="preserve">The </w:t>
      </w:r>
      <w:r w:rsidR="006B5E92">
        <w:rPr>
          <w:rFonts w:cs="Arial"/>
          <w:szCs w:val="24"/>
        </w:rPr>
        <w:t xml:space="preserve">LHCR </w:t>
      </w:r>
      <w:r w:rsidR="00593220">
        <w:rPr>
          <w:rFonts w:cs="Arial"/>
          <w:szCs w:val="24"/>
        </w:rPr>
        <w:t>record</w:t>
      </w:r>
      <w:r w:rsidR="004F2113" w:rsidRPr="00032CF3">
        <w:rPr>
          <w:rFonts w:cs="Arial"/>
          <w:szCs w:val="24"/>
        </w:rPr>
        <w:t xml:space="preserve"> will</w:t>
      </w:r>
      <w:r w:rsidR="00186592" w:rsidRPr="00032CF3">
        <w:rPr>
          <w:rFonts w:cs="Arial"/>
          <w:szCs w:val="24"/>
        </w:rPr>
        <w:t xml:space="preserve"> assist care professionals by bringing together content that can be standardised and </w:t>
      </w:r>
      <w:r w:rsidR="00202D02" w:rsidRPr="00032CF3">
        <w:rPr>
          <w:rFonts w:cs="Arial"/>
          <w:szCs w:val="24"/>
        </w:rPr>
        <w:t xml:space="preserve">then </w:t>
      </w:r>
      <w:r w:rsidR="00186592" w:rsidRPr="00032CF3">
        <w:rPr>
          <w:rFonts w:cs="Arial"/>
          <w:szCs w:val="24"/>
        </w:rPr>
        <w:t xml:space="preserve">consistently displayed </w:t>
      </w:r>
      <w:r>
        <w:rPr>
          <w:rFonts w:cs="Arial"/>
          <w:szCs w:val="24"/>
        </w:rPr>
        <w:t xml:space="preserve">for example by providing </w:t>
      </w:r>
      <w:r w:rsidR="00186592" w:rsidRPr="00032CF3">
        <w:rPr>
          <w:rFonts w:cs="Arial"/>
          <w:szCs w:val="24"/>
        </w:rPr>
        <w:t>a consolidated medication list.</w:t>
      </w:r>
      <w:r>
        <w:rPr>
          <w:rFonts w:cs="Arial"/>
          <w:szCs w:val="24"/>
        </w:rPr>
        <w:t xml:space="preserve">  </w:t>
      </w:r>
    </w:p>
    <w:p w14:paraId="0D5A7A68" w14:textId="77777777" w:rsidR="00501E40" w:rsidRDefault="00501E40" w:rsidP="00241D06">
      <w:pPr>
        <w:spacing w:before="0" w:after="0" w:line="276" w:lineRule="auto"/>
        <w:jc w:val="both"/>
        <w:rPr>
          <w:rFonts w:cs="Arial"/>
          <w:szCs w:val="24"/>
        </w:rPr>
      </w:pPr>
    </w:p>
    <w:p w14:paraId="6316A333" w14:textId="1701AD64" w:rsidR="00907D33" w:rsidRDefault="00501E40" w:rsidP="00241D06">
      <w:pPr>
        <w:spacing w:before="0" w:after="0" w:line="276" w:lineRule="auto"/>
        <w:jc w:val="both"/>
        <w:rPr>
          <w:rFonts w:cs="Arial"/>
          <w:szCs w:val="24"/>
        </w:rPr>
      </w:pPr>
      <w:r w:rsidRPr="00032CF3">
        <w:rPr>
          <w:rFonts w:cs="Arial"/>
          <w:szCs w:val="24"/>
        </w:rPr>
        <w:t>Th</w:t>
      </w:r>
      <w:r>
        <w:rPr>
          <w:rFonts w:cs="Arial"/>
          <w:szCs w:val="24"/>
        </w:rPr>
        <w:t xml:space="preserve">is </w:t>
      </w:r>
      <w:r w:rsidR="00A63F37">
        <w:rPr>
          <w:rFonts w:cs="Arial"/>
          <w:szCs w:val="24"/>
        </w:rPr>
        <w:t>national I</w:t>
      </w:r>
      <w:r>
        <w:rPr>
          <w:rFonts w:cs="Arial"/>
          <w:szCs w:val="24"/>
        </w:rPr>
        <w:t xml:space="preserve">nformation </w:t>
      </w:r>
      <w:r w:rsidR="00A63F37">
        <w:rPr>
          <w:rFonts w:cs="Arial"/>
          <w:szCs w:val="24"/>
        </w:rPr>
        <w:t>G</w:t>
      </w:r>
      <w:r w:rsidR="00593220">
        <w:rPr>
          <w:rFonts w:cs="Arial"/>
          <w:szCs w:val="24"/>
        </w:rPr>
        <w:t xml:space="preserve">overnance </w:t>
      </w:r>
      <w:r w:rsidR="00A63F37">
        <w:rPr>
          <w:rFonts w:cs="Arial"/>
          <w:szCs w:val="24"/>
        </w:rPr>
        <w:t>F</w:t>
      </w:r>
      <w:r>
        <w:rPr>
          <w:rFonts w:cs="Arial"/>
          <w:szCs w:val="24"/>
        </w:rPr>
        <w:t xml:space="preserve">ramework provides a </w:t>
      </w:r>
      <w:r w:rsidRPr="00032CF3">
        <w:rPr>
          <w:rFonts w:cs="Arial"/>
          <w:szCs w:val="24"/>
        </w:rPr>
        <w:t>structured approach to ensure LHCR participants meet their legal obligations when planning, preparing and delivering data sharing</w:t>
      </w:r>
      <w:r>
        <w:rPr>
          <w:rFonts w:cs="Arial"/>
          <w:szCs w:val="24"/>
        </w:rPr>
        <w:t xml:space="preserve">.  </w:t>
      </w:r>
      <w:r w:rsidR="00186592" w:rsidRPr="00032CF3">
        <w:rPr>
          <w:rFonts w:cs="Arial"/>
          <w:szCs w:val="24"/>
        </w:rPr>
        <w:t xml:space="preserve">It is </w:t>
      </w:r>
      <w:r w:rsidR="00202D02" w:rsidRPr="00032CF3">
        <w:rPr>
          <w:rFonts w:cs="Arial"/>
          <w:szCs w:val="24"/>
        </w:rPr>
        <w:t xml:space="preserve">based </w:t>
      </w:r>
      <w:r w:rsidR="00186592" w:rsidRPr="00032CF3">
        <w:rPr>
          <w:rFonts w:cs="Arial"/>
          <w:szCs w:val="24"/>
        </w:rPr>
        <w:t>on a model where data controllership continues to remain local</w:t>
      </w:r>
      <w:r w:rsidR="00202D02" w:rsidRPr="00032CF3">
        <w:rPr>
          <w:rFonts w:cs="Arial"/>
          <w:szCs w:val="24"/>
        </w:rPr>
        <w:t>. This means</w:t>
      </w:r>
      <w:r w:rsidR="00186592" w:rsidRPr="00032CF3">
        <w:rPr>
          <w:rFonts w:cs="Arial"/>
          <w:szCs w:val="24"/>
        </w:rPr>
        <w:t xml:space="preserve"> local agreements </w:t>
      </w:r>
      <w:r w:rsidR="00593220">
        <w:rPr>
          <w:rFonts w:cs="Arial"/>
          <w:szCs w:val="24"/>
        </w:rPr>
        <w:t xml:space="preserve">will be in place to set out </w:t>
      </w:r>
      <w:r w:rsidR="00186592" w:rsidRPr="00032CF3">
        <w:rPr>
          <w:rFonts w:cs="Arial"/>
          <w:szCs w:val="24"/>
        </w:rPr>
        <w:t xml:space="preserve">what data is shared and who can access this data so that this is done in a safe, secure and appropriate manner. </w:t>
      </w:r>
    </w:p>
    <w:p w14:paraId="767FB6F0" w14:textId="77777777" w:rsidR="00186592" w:rsidRPr="00032CF3" w:rsidRDefault="00186592" w:rsidP="00241D06">
      <w:pPr>
        <w:spacing w:before="0" w:after="0" w:line="276" w:lineRule="auto"/>
        <w:jc w:val="both"/>
        <w:rPr>
          <w:rFonts w:cs="Arial"/>
          <w:szCs w:val="24"/>
        </w:rPr>
      </w:pPr>
    </w:p>
    <w:p w14:paraId="1C9A061B" w14:textId="77777777" w:rsidR="00186592" w:rsidRDefault="00186592" w:rsidP="00241D06">
      <w:pPr>
        <w:spacing w:before="0" w:after="0" w:line="276" w:lineRule="auto"/>
        <w:jc w:val="both"/>
        <w:rPr>
          <w:rFonts w:cs="Arial"/>
          <w:szCs w:val="24"/>
        </w:rPr>
      </w:pPr>
      <w:r w:rsidRPr="00032CF3">
        <w:rPr>
          <w:rFonts w:cs="Arial"/>
          <w:szCs w:val="24"/>
        </w:rPr>
        <w:t>The LHCR programme has been broken down into down into four “journeys”</w:t>
      </w:r>
      <w:r w:rsidR="00907D33">
        <w:rPr>
          <w:rFonts w:cs="Arial"/>
          <w:szCs w:val="24"/>
        </w:rPr>
        <w:t xml:space="preserve">. </w:t>
      </w:r>
      <w:r w:rsidR="000825E4" w:rsidRPr="00032CF3">
        <w:rPr>
          <w:rFonts w:cs="Arial"/>
          <w:szCs w:val="24"/>
        </w:rPr>
        <w:t>These are:</w:t>
      </w:r>
    </w:p>
    <w:p w14:paraId="5BE90975" w14:textId="77777777" w:rsidR="00967877" w:rsidRPr="00032CF3" w:rsidRDefault="00967877" w:rsidP="00241D06">
      <w:pPr>
        <w:spacing w:before="0" w:after="0" w:line="276" w:lineRule="auto"/>
        <w:jc w:val="both"/>
        <w:rPr>
          <w:rFonts w:cs="Arial"/>
          <w:szCs w:val="24"/>
        </w:rPr>
      </w:pPr>
    </w:p>
    <w:p w14:paraId="161CAA91" w14:textId="77777777" w:rsidR="00E85DBD" w:rsidRPr="00041EE9" w:rsidRDefault="00186592" w:rsidP="00B914EE">
      <w:pPr>
        <w:pStyle w:val="ListParagraph"/>
        <w:numPr>
          <w:ilvl w:val="0"/>
          <w:numId w:val="45"/>
        </w:numPr>
        <w:spacing w:before="0" w:after="0" w:line="276" w:lineRule="auto"/>
        <w:rPr>
          <w:rFonts w:ascii="Arial" w:hAnsi="Arial"/>
          <w:color w:val="000000" w:themeColor="text1"/>
          <w:sz w:val="24"/>
          <w:szCs w:val="24"/>
        </w:rPr>
      </w:pPr>
      <w:r w:rsidRPr="00911493">
        <w:rPr>
          <w:rFonts w:ascii="Arial" w:hAnsi="Arial"/>
          <w:b/>
          <w:sz w:val="24"/>
          <w:szCs w:val="24"/>
        </w:rPr>
        <w:t xml:space="preserve">Journey 1 – Sharing </w:t>
      </w:r>
      <w:r w:rsidR="00B46CB7">
        <w:rPr>
          <w:rFonts w:ascii="Arial" w:hAnsi="Arial"/>
          <w:b/>
          <w:sz w:val="24"/>
          <w:szCs w:val="24"/>
        </w:rPr>
        <w:t>personal/</w:t>
      </w:r>
      <w:r w:rsidR="00907D33" w:rsidRPr="00911493">
        <w:rPr>
          <w:rFonts w:ascii="Arial" w:hAnsi="Arial"/>
          <w:b/>
          <w:sz w:val="24"/>
          <w:szCs w:val="24"/>
        </w:rPr>
        <w:t>c</w:t>
      </w:r>
      <w:r w:rsidRPr="00911493">
        <w:rPr>
          <w:rFonts w:ascii="Arial" w:hAnsi="Arial"/>
          <w:b/>
          <w:sz w:val="24"/>
          <w:szCs w:val="24"/>
        </w:rPr>
        <w:t xml:space="preserve">onfidential </w:t>
      </w:r>
      <w:r w:rsidR="00907D33" w:rsidRPr="00911493">
        <w:rPr>
          <w:rFonts w:ascii="Arial" w:hAnsi="Arial"/>
          <w:b/>
          <w:sz w:val="24"/>
          <w:szCs w:val="24"/>
        </w:rPr>
        <w:t>p</w:t>
      </w:r>
      <w:r w:rsidRPr="00911493">
        <w:rPr>
          <w:rFonts w:ascii="Arial" w:hAnsi="Arial"/>
          <w:b/>
          <w:sz w:val="24"/>
          <w:szCs w:val="24"/>
        </w:rPr>
        <w:t xml:space="preserve">atient </w:t>
      </w:r>
      <w:r w:rsidR="00907D33" w:rsidRPr="00911493">
        <w:rPr>
          <w:rFonts w:ascii="Arial" w:hAnsi="Arial"/>
          <w:b/>
          <w:sz w:val="24"/>
          <w:szCs w:val="24"/>
        </w:rPr>
        <w:t>i</w:t>
      </w:r>
      <w:r w:rsidRPr="00911493">
        <w:rPr>
          <w:rFonts w:ascii="Arial" w:hAnsi="Arial"/>
          <w:b/>
          <w:sz w:val="24"/>
          <w:szCs w:val="24"/>
        </w:rPr>
        <w:t xml:space="preserve">nformation </w:t>
      </w:r>
      <w:r w:rsidR="00B46CB7">
        <w:rPr>
          <w:rFonts w:ascii="Arial" w:hAnsi="Arial"/>
          <w:b/>
          <w:sz w:val="24"/>
          <w:szCs w:val="24"/>
        </w:rPr>
        <w:t xml:space="preserve">(CPI) </w:t>
      </w:r>
      <w:r w:rsidRPr="00911493">
        <w:rPr>
          <w:rFonts w:ascii="Arial" w:hAnsi="Arial"/>
          <w:b/>
          <w:sz w:val="24"/>
          <w:szCs w:val="24"/>
        </w:rPr>
        <w:t>between health and social care bodies within a LHCR for the individual care</w:t>
      </w:r>
      <w:r w:rsidR="003F7E2E" w:rsidRPr="00911493">
        <w:rPr>
          <w:rStyle w:val="FootnoteReference"/>
          <w:rFonts w:ascii="Arial" w:hAnsi="Arial"/>
          <w:b/>
          <w:sz w:val="24"/>
          <w:szCs w:val="24"/>
        </w:rPr>
        <w:footnoteReference w:id="2"/>
      </w:r>
      <w:r w:rsidRPr="00911493">
        <w:rPr>
          <w:rFonts w:ascii="Arial" w:hAnsi="Arial"/>
          <w:b/>
          <w:sz w:val="24"/>
          <w:szCs w:val="24"/>
        </w:rPr>
        <w:t xml:space="preserve"> of patients and service users</w:t>
      </w:r>
      <w:r w:rsidR="00967877">
        <w:rPr>
          <w:rFonts w:ascii="Arial" w:hAnsi="Arial"/>
          <w:sz w:val="24"/>
          <w:szCs w:val="24"/>
        </w:rPr>
        <w:t xml:space="preserve">. </w:t>
      </w:r>
      <w:r w:rsidR="00967877" w:rsidRPr="006A4D54">
        <w:rPr>
          <w:rFonts w:ascii="Arial" w:hAnsi="Arial"/>
          <w:bCs/>
          <w:sz w:val="24"/>
          <w:szCs w:val="24"/>
        </w:rPr>
        <w:t>The Long</w:t>
      </w:r>
      <w:r w:rsidR="00F3663F">
        <w:rPr>
          <w:rFonts w:ascii="Arial" w:hAnsi="Arial"/>
          <w:bCs/>
          <w:sz w:val="24"/>
          <w:szCs w:val="24"/>
        </w:rPr>
        <w:t>-</w:t>
      </w:r>
      <w:r w:rsidR="00967877" w:rsidRPr="006A4D54">
        <w:rPr>
          <w:rFonts w:ascii="Arial" w:hAnsi="Arial"/>
          <w:bCs/>
          <w:sz w:val="24"/>
          <w:szCs w:val="24"/>
        </w:rPr>
        <w:t xml:space="preserve">Term Plan sets out a commitment to provide national </w:t>
      </w:r>
      <w:r w:rsidR="00967877" w:rsidRPr="00041EE9">
        <w:rPr>
          <w:rFonts w:ascii="Arial" w:hAnsi="Arial"/>
          <w:bCs/>
          <w:color w:val="000000" w:themeColor="text1"/>
          <w:sz w:val="24"/>
          <w:szCs w:val="24"/>
        </w:rPr>
        <w:t xml:space="preserve">coverage of LHCRs and therefore the intention is that there would be a record for each member of the population.  </w:t>
      </w:r>
    </w:p>
    <w:p w14:paraId="64C84714" w14:textId="77777777" w:rsidR="00967877" w:rsidRPr="00041EE9" w:rsidRDefault="00967877" w:rsidP="00241D06">
      <w:pPr>
        <w:spacing w:before="0" w:after="0" w:line="276" w:lineRule="auto"/>
        <w:ind w:left="420"/>
        <w:rPr>
          <w:rFonts w:cs="Arial"/>
          <w:color w:val="000000" w:themeColor="text1"/>
          <w:szCs w:val="24"/>
        </w:rPr>
      </w:pPr>
    </w:p>
    <w:p w14:paraId="725BB243" w14:textId="5F3ECBEE" w:rsidR="00967877" w:rsidRDefault="00186592" w:rsidP="00B914EE">
      <w:pPr>
        <w:pStyle w:val="ListParagraph"/>
        <w:numPr>
          <w:ilvl w:val="0"/>
          <w:numId w:val="45"/>
        </w:numPr>
        <w:spacing w:before="0" w:after="0" w:line="276" w:lineRule="auto"/>
        <w:rPr>
          <w:rFonts w:ascii="Arial" w:hAnsi="Arial"/>
          <w:sz w:val="24"/>
          <w:szCs w:val="24"/>
        </w:rPr>
      </w:pPr>
      <w:r w:rsidRPr="00911493">
        <w:rPr>
          <w:rFonts w:ascii="Arial" w:hAnsi="Arial"/>
          <w:b/>
          <w:sz w:val="24"/>
          <w:szCs w:val="24"/>
        </w:rPr>
        <w:t xml:space="preserve">Journey </w:t>
      </w:r>
      <w:r w:rsidR="008706E7">
        <w:rPr>
          <w:rFonts w:ascii="Arial" w:hAnsi="Arial"/>
          <w:b/>
          <w:sz w:val="24"/>
          <w:szCs w:val="24"/>
        </w:rPr>
        <w:t>2</w:t>
      </w:r>
      <w:r w:rsidRPr="00911493">
        <w:rPr>
          <w:rFonts w:ascii="Arial" w:hAnsi="Arial"/>
          <w:b/>
          <w:sz w:val="24"/>
          <w:szCs w:val="24"/>
        </w:rPr>
        <w:t xml:space="preserve"> – Sharing </w:t>
      </w:r>
      <w:r w:rsidR="00B46CB7">
        <w:rPr>
          <w:rFonts w:ascii="Arial" w:hAnsi="Arial"/>
          <w:b/>
          <w:sz w:val="24"/>
          <w:szCs w:val="24"/>
        </w:rPr>
        <w:t>personal/</w:t>
      </w:r>
      <w:r w:rsidR="00907D33" w:rsidRPr="00911493">
        <w:rPr>
          <w:rFonts w:ascii="Arial" w:hAnsi="Arial"/>
          <w:b/>
          <w:sz w:val="24"/>
          <w:szCs w:val="24"/>
        </w:rPr>
        <w:t>c</w:t>
      </w:r>
      <w:r w:rsidRPr="00911493">
        <w:rPr>
          <w:rFonts w:ascii="Arial" w:hAnsi="Arial"/>
          <w:b/>
          <w:sz w:val="24"/>
          <w:szCs w:val="24"/>
        </w:rPr>
        <w:t xml:space="preserve">onfidential </w:t>
      </w:r>
      <w:r w:rsidR="00907D33" w:rsidRPr="00911493">
        <w:rPr>
          <w:rFonts w:ascii="Arial" w:hAnsi="Arial"/>
          <w:b/>
          <w:sz w:val="24"/>
          <w:szCs w:val="24"/>
        </w:rPr>
        <w:t>p</w:t>
      </w:r>
      <w:r w:rsidRPr="00911493">
        <w:rPr>
          <w:rFonts w:ascii="Arial" w:hAnsi="Arial"/>
          <w:b/>
          <w:sz w:val="24"/>
          <w:szCs w:val="24"/>
        </w:rPr>
        <w:t xml:space="preserve">atient Information </w:t>
      </w:r>
      <w:r w:rsidR="00B46CB7">
        <w:rPr>
          <w:rFonts w:ascii="Arial" w:hAnsi="Arial"/>
          <w:b/>
          <w:sz w:val="24"/>
          <w:szCs w:val="24"/>
        </w:rPr>
        <w:t xml:space="preserve">(CPI) </w:t>
      </w:r>
      <w:r w:rsidRPr="00911493">
        <w:rPr>
          <w:rFonts w:ascii="Arial" w:hAnsi="Arial"/>
          <w:b/>
          <w:sz w:val="24"/>
          <w:szCs w:val="24"/>
        </w:rPr>
        <w:t>between health and social care bodies across geographical boundaries for the individual care of patients</w:t>
      </w:r>
      <w:r w:rsidRPr="00911493">
        <w:rPr>
          <w:rFonts w:ascii="Arial" w:hAnsi="Arial"/>
          <w:sz w:val="24"/>
          <w:szCs w:val="24"/>
        </w:rPr>
        <w:t>.</w:t>
      </w:r>
      <w:r w:rsidR="00967877" w:rsidRPr="00911493">
        <w:rPr>
          <w:rFonts w:ascii="Arial" w:hAnsi="Arial"/>
          <w:sz w:val="24"/>
          <w:szCs w:val="24"/>
        </w:rPr>
        <w:t xml:space="preserve"> </w:t>
      </w:r>
      <w:r w:rsidR="00967877" w:rsidRPr="00911493">
        <w:rPr>
          <w:rFonts w:ascii="Arial" w:hAnsi="Arial"/>
          <w:bCs/>
          <w:sz w:val="24"/>
          <w:szCs w:val="24"/>
        </w:rPr>
        <w:t xml:space="preserve">A patient's LHCR area will be determined by where their GP practice is based. However it is important that information is </w:t>
      </w:r>
      <w:r w:rsidR="00967877" w:rsidRPr="00911493">
        <w:rPr>
          <w:rFonts w:ascii="Arial" w:hAnsi="Arial"/>
          <w:sz w:val="24"/>
          <w:szCs w:val="24"/>
        </w:rPr>
        <w:t>available at the point of care for a patient. A requirement of LHCRs is that there is the ability to share information with other LHCRs.</w:t>
      </w:r>
    </w:p>
    <w:p w14:paraId="42D2B90A" w14:textId="77777777" w:rsidR="00E85DBD" w:rsidRPr="007D2CC3" w:rsidRDefault="00E85DBD" w:rsidP="00241D06">
      <w:pPr>
        <w:spacing w:before="0" w:after="0" w:line="276" w:lineRule="auto"/>
        <w:ind w:left="420"/>
        <w:rPr>
          <w:szCs w:val="24"/>
        </w:rPr>
      </w:pPr>
    </w:p>
    <w:p w14:paraId="2911827C" w14:textId="77777777" w:rsidR="00186592" w:rsidRPr="00911493" w:rsidRDefault="00186592" w:rsidP="00962AE5">
      <w:pPr>
        <w:pStyle w:val="ListParagraph"/>
        <w:numPr>
          <w:ilvl w:val="0"/>
          <w:numId w:val="16"/>
        </w:numPr>
        <w:spacing w:before="0" w:after="0" w:line="276" w:lineRule="auto"/>
        <w:rPr>
          <w:rFonts w:ascii="Arial" w:hAnsi="Arial"/>
          <w:b/>
          <w:sz w:val="24"/>
          <w:szCs w:val="24"/>
        </w:rPr>
      </w:pPr>
      <w:r w:rsidRPr="00911493">
        <w:rPr>
          <w:rFonts w:ascii="Arial" w:hAnsi="Arial"/>
          <w:b/>
          <w:sz w:val="24"/>
          <w:szCs w:val="24"/>
        </w:rPr>
        <w:lastRenderedPageBreak/>
        <w:t xml:space="preserve">Journey </w:t>
      </w:r>
      <w:r w:rsidR="008706E7">
        <w:rPr>
          <w:rFonts w:ascii="Arial" w:hAnsi="Arial"/>
          <w:b/>
          <w:sz w:val="24"/>
          <w:szCs w:val="24"/>
        </w:rPr>
        <w:t>3</w:t>
      </w:r>
      <w:r w:rsidRPr="00911493">
        <w:rPr>
          <w:rFonts w:ascii="Arial" w:hAnsi="Arial"/>
          <w:b/>
          <w:sz w:val="24"/>
          <w:szCs w:val="24"/>
        </w:rPr>
        <w:t xml:space="preserve"> - Sharing </w:t>
      </w:r>
      <w:r w:rsidR="00B46CB7" w:rsidRPr="00C9624F">
        <w:rPr>
          <w:rFonts w:ascii="Arial" w:hAnsi="Arial"/>
          <w:b/>
          <w:sz w:val="24"/>
          <w:szCs w:val="24"/>
        </w:rPr>
        <w:t>personal/</w:t>
      </w:r>
      <w:r w:rsidR="00907D33" w:rsidRPr="00911493">
        <w:rPr>
          <w:rFonts w:ascii="Arial" w:hAnsi="Arial"/>
          <w:b/>
          <w:sz w:val="24"/>
          <w:szCs w:val="24"/>
        </w:rPr>
        <w:t xml:space="preserve">confidential patient information and anonymous </w:t>
      </w:r>
      <w:r w:rsidR="006B5E92" w:rsidRPr="00911493">
        <w:rPr>
          <w:rFonts w:ascii="Arial" w:hAnsi="Arial"/>
          <w:b/>
          <w:sz w:val="24"/>
          <w:szCs w:val="24"/>
        </w:rPr>
        <w:t>data</w:t>
      </w:r>
      <w:r w:rsidRPr="00911493">
        <w:rPr>
          <w:rStyle w:val="CommentReference"/>
          <w:rFonts w:ascii="Arial" w:hAnsi="Arial"/>
          <w:b/>
          <w:sz w:val="24"/>
          <w:szCs w:val="24"/>
        </w:rPr>
        <w:t xml:space="preserve"> between health and social care bodies w</w:t>
      </w:r>
      <w:r w:rsidRPr="00911493">
        <w:rPr>
          <w:rFonts w:ascii="Arial" w:hAnsi="Arial"/>
          <w:b/>
          <w:sz w:val="24"/>
          <w:szCs w:val="24"/>
        </w:rPr>
        <w:t xml:space="preserve">ithin a LHCR and across </w:t>
      </w:r>
      <w:r w:rsidR="00E90357" w:rsidRPr="00911493">
        <w:rPr>
          <w:rFonts w:ascii="Arial" w:hAnsi="Arial"/>
          <w:b/>
          <w:sz w:val="24"/>
          <w:szCs w:val="24"/>
        </w:rPr>
        <w:t xml:space="preserve">LCHR </w:t>
      </w:r>
      <w:r w:rsidRPr="00911493">
        <w:rPr>
          <w:rFonts w:ascii="Arial" w:hAnsi="Arial"/>
          <w:b/>
          <w:sz w:val="24"/>
          <w:szCs w:val="24"/>
        </w:rPr>
        <w:t>geographical boundaries to improve health, care and services through plannin</w:t>
      </w:r>
      <w:r w:rsidR="00C9624F" w:rsidRPr="00911493">
        <w:rPr>
          <w:rFonts w:ascii="Arial" w:hAnsi="Arial"/>
          <w:b/>
          <w:sz w:val="24"/>
          <w:szCs w:val="24"/>
        </w:rPr>
        <w:t>g</w:t>
      </w:r>
    </w:p>
    <w:p w14:paraId="1FC79E53" w14:textId="77777777" w:rsidR="00967877" w:rsidRPr="00A3708B" w:rsidRDefault="00967877" w:rsidP="00241D06">
      <w:pPr>
        <w:spacing w:before="0" w:after="0" w:line="276" w:lineRule="auto"/>
        <w:ind w:left="420"/>
        <w:rPr>
          <w:szCs w:val="24"/>
        </w:rPr>
      </w:pPr>
    </w:p>
    <w:p w14:paraId="4811905F" w14:textId="77777777" w:rsidR="00186592" w:rsidRPr="00911493" w:rsidRDefault="00186592" w:rsidP="00962AE5">
      <w:pPr>
        <w:pStyle w:val="ListParagraph"/>
        <w:numPr>
          <w:ilvl w:val="0"/>
          <w:numId w:val="16"/>
        </w:numPr>
        <w:spacing w:before="0" w:after="0" w:line="276" w:lineRule="auto"/>
        <w:rPr>
          <w:rFonts w:ascii="Arial" w:hAnsi="Arial"/>
          <w:b/>
          <w:sz w:val="24"/>
          <w:szCs w:val="24"/>
        </w:rPr>
      </w:pPr>
      <w:r w:rsidRPr="00911493">
        <w:rPr>
          <w:rFonts w:ascii="Arial" w:hAnsi="Arial"/>
          <w:b/>
          <w:sz w:val="24"/>
          <w:szCs w:val="24"/>
        </w:rPr>
        <w:t xml:space="preserve">Journey </w:t>
      </w:r>
      <w:r w:rsidR="008706E7">
        <w:rPr>
          <w:rFonts w:ascii="Arial" w:hAnsi="Arial"/>
          <w:b/>
          <w:sz w:val="24"/>
          <w:szCs w:val="24"/>
        </w:rPr>
        <w:t>4</w:t>
      </w:r>
      <w:r w:rsidRPr="00911493">
        <w:rPr>
          <w:rFonts w:ascii="Arial" w:hAnsi="Arial"/>
          <w:b/>
          <w:sz w:val="24"/>
          <w:szCs w:val="24"/>
        </w:rPr>
        <w:t xml:space="preserve"> - Sharing </w:t>
      </w:r>
      <w:r w:rsidR="00B46CB7">
        <w:rPr>
          <w:rFonts w:ascii="Arial" w:hAnsi="Arial"/>
          <w:b/>
          <w:sz w:val="24"/>
          <w:szCs w:val="24"/>
        </w:rPr>
        <w:t>personal/</w:t>
      </w:r>
      <w:r w:rsidR="00907D33" w:rsidRPr="00911493">
        <w:rPr>
          <w:rFonts w:ascii="Arial" w:hAnsi="Arial"/>
          <w:b/>
          <w:sz w:val="24"/>
          <w:szCs w:val="24"/>
        </w:rPr>
        <w:t xml:space="preserve">confidential patient information and anonymous </w:t>
      </w:r>
      <w:r w:rsidR="006B5E92" w:rsidRPr="00911493">
        <w:rPr>
          <w:rFonts w:ascii="Arial" w:hAnsi="Arial"/>
          <w:b/>
          <w:sz w:val="24"/>
          <w:szCs w:val="24"/>
        </w:rPr>
        <w:t xml:space="preserve">data </w:t>
      </w:r>
      <w:r w:rsidRPr="00911493">
        <w:rPr>
          <w:rStyle w:val="CommentReference"/>
          <w:rFonts w:ascii="Arial" w:hAnsi="Arial"/>
          <w:b/>
          <w:sz w:val="24"/>
          <w:szCs w:val="24"/>
        </w:rPr>
        <w:t>w</w:t>
      </w:r>
      <w:r w:rsidRPr="00911493">
        <w:rPr>
          <w:rFonts w:ascii="Arial" w:hAnsi="Arial"/>
          <w:b/>
          <w:sz w:val="24"/>
          <w:szCs w:val="24"/>
        </w:rPr>
        <w:t>ith others for health and care research purposes (Research)</w:t>
      </w:r>
    </w:p>
    <w:p w14:paraId="64DC6B85" w14:textId="77777777" w:rsidR="00B5721A" w:rsidRDefault="00B5721A" w:rsidP="00241D06">
      <w:pPr>
        <w:spacing w:before="0" w:after="0" w:line="276" w:lineRule="auto"/>
        <w:jc w:val="both"/>
        <w:rPr>
          <w:rFonts w:cs="Arial"/>
          <w:szCs w:val="24"/>
        </w:rPr>
      </w:pPr>
      <w:bookmarkStart w:id="5" w:name="_Hlk535221998"/>
    </w:p>
    <w:p w14:paraId="7715B371" w14:textId="77777777" w:rsidR="00186592" w:rsidRPr="00032CF3" w:rsidRDefault="006B5E92" w:rsidP="00241D06">
      <w:pPr>
        <w:spacing w:before="0" w:after="0" w:line="276" w:lineRule="auto"/>
        <w:jc w:val="both"/>
        <w:rPr>
          <w:rFonts w:cs="Arial"/>
          <w:szCs w:val="24"/>
        </w:rPr>
      </w:pPr>
      <w:r>
        <w:rPr>
          <w:rFonts w:cs="Arial"/>
          <w:szCs w:val="24"/>
        </w:rPr>
        <w:t>The I</w:t>
      </w:r>
      <w:r w:rsidR="00A240D2">
        <w:rPr>
          <w:rFonts w:cs="Arial"/>
          <w:szCs w:val="24"/>
        </w:rPr>
        <w:t xml:space="preserve">nformation </w:t>
      </w:r>
      <w:r>
        <w:rPr>
          <w:rFonts w:cs="Arial"/>
          <w:szCs w:val="24"/>
        </w:rPr>
        <w:t>G</w:t>
      </w:r>
      <w:r w:rsidR="00A240D2">
        <w:rPr>
          <w:rFonts w:cs="Arial"/>
          <w:szCs w:val="24"/>
        </w:rPr>
        <w:t>overnance F</w:t>
      </w:r>
      <w:r>
        <w:rPr>
          <w:rFonts w:cs="Arial"/>
          <w:szCs w:val="24"/>
        </w:rPr>
        <w:t xml:space="preserve">ramework </w:t>
      </w:r>
      <w:r w:rsidR="00186592" w:rsidRPr="00032CF3">
        <w:rPr>
          <w:rFonts w:cs="Arial"/>
          <w:szCs w:val="24"/>
        </w:rPr>
        <w:t>will enable the processing of data in an appropriate and transparent manner</w:t>
      </w:r>
      <w:r w:rsidR="00DE59A8">
        <w:rPr>
          <w:rFonts w:cs="Arial"/>
          <w:szCs w:val="24"/>
        </w:rPr>
        <w:t xml:space="preserve">.  It will support LHCRs to ensure that data sharing </w:t>
      </w:r>
      <w:r w:rsidR="00186592" w:rsidRPr="00032CF3">
        <w:rPr>
          <w:rFonts w:cs="Arial"/>
          <w:szCs w:val="24"/>
        </w:rPr>
        <w:t>complies with statute</w:t>
      </w:r>
      <w:r w:rsidR="00DE59A8">
        <w:rPr>
          <w:rFonts w:cs="Arial"/>
          <w:szCs w:val="24"/>
        </w:rPr>
        <w:t>;</w:t>
      </w:r>
      <w:r w:rsidR="00186592" w:rsidRPr="00032CF3">
        <w:rPr>
          <w:rFonts w:cs="Arial"/>
          <w:szCs w:val="24"/>
        </w:rPr>
        <w:t xml:space="preserve"> common law</w:t>
      </w:r>
      <w:r w:rsidR="00967877">
        <w:rPr>
          <w:rFonts w:cs="Arial"/>
          <w:szCs w:val="24"/>
        </w:rPr>
        <w:t xml:space="preserve">; the </w:t>
      </w:r>
      <w:r w:rsidR="00186592" w:rsidRPr="00032CF3">
        <w:rPr>
          <w:rFonts w:cs="Arial"/>
          <w:szCs w:val="24"/>
        </w:rPr>
        <w:t>values set out in the NHS Constitution</w:t>
      </w:r>
      <w:r w:rsidR="00967877">
        <w:rPr>
          <w:rFonts w:cs="Arial"/>
          <w:szCs w:val="24"/>
        </w:rPr>
        <w:t xml:space="preserve"> and </w:t>
      </w:r>
      <w:r w:rsidR="00186592" w:rsidRPr="00032CF3">
        <w:rPr>
          <w:rFonts w:cs="Arial"/>
          <w:szCs w:val="24"/>
        </w:rPr>
        <w:t>enshrined in the provision of social care</w:t>
      </w:r>
      <w:r w:rsidR="00967877">
        <w:rPr>
          <w:rFonts w:cs="Arial"/>
          <w:szCs w:val="24"/>
        </w:rPr>
        <w:t xml:space="preserve">; </w:t>
      </w:r>
      <w:r w:rsidR="00186592" w:rsidRPr="00032CF3">
        <w:rPr>
          <w:rFonts w:cs="Arial"/>
          <w:szCs w:val="24"/>
        </w:rPr>
        <w:t xml:space="preserve">and professional guidelines </w:t>
      </w:r>
      <w:r w:rsidR="00967877">
        <w:rPr>
          <w:rFonts w:cs="Arial"/>
          <w:szCs w:val="24"/>
        </w:rPr>
        <w:t xml:space="preserve">on sharing information as </w:t>
      </w:r>
      <w:r w:rsidR="00186592" w:rsidRPr="00032CF3">
        <w:rPr>
          <w:rFonts w:cs="Arial"/>
          <w:szCs w:val="24"/>
        </w:rPr>
        <w:t>set out for health and care staff.</w:t>
      </w:r>
      <w:r w:rsidR="009A7391">
        <w:rPr>
          <w:rFonts w:cs="Arial"/>
          <w:szCs w:val="24"/>
        </w:rPr>
        <w:t xml:space="preserve"> </w:t>
      </w:r>
    </w:p>
    <w:bookmarkEnd w:id="5"/>
    <w:p w14:paraId="1691E5FF" w14:textId="77777777" w:rsidR="00186592" w:rsidRPr="00032CF3" w:rsidRDefault="00186592" w:rsidP="00241D06">
      <w:pPr>
        <w:spacing w:before="0" w:after="0" w:line="276" w:lineRule="auto"/>
        <w:jc w:val="both"/>
        <w:rPr>
          <w:rFonts w:cs="Arial"/>
          <w:szCs w:val="24"/>
        </w:rPr>
      </w:pPr>
    </w:p>
    <w:p w14:paraId="7631297F" w14:textId="77777777" w:rsidR="007221E8" w:rsidRDefault="00186592" w:rsidP="00241D06">
      <w:pPr>
        <w:spacing w:before="0" w:after="0" w:line="276" w:lineRule="auto"/>
        <w:jc w:val="both"/>
        <w:rPr>
          <w:rFonts w:cs="Arial"/>
          <w:szCs w:val="24"/>
        </w:rPr>
      </w:pPr>
      <w:r w:rsidRPr="00032CF3">
        <w:rPr>
          <w:rFonts w:cs="Arial"/>
          <w:szCs w:val="24"/>
        </w:rPr>
        <w:t>Th</w:t>
      </w:r>
      <w:r w:rsidR="007242E5">
        <w:rPr>
          <w:rFonts w:cs="Arial"/>
          <w:szCs w:val="24"/>
        </w:rPr>
        <w:t>is</w:t>
      </w:r>
      <w:r w:rsidRPr="00032CF3">
        <w:rPr>
          <w:rFonts w:cs="Arial"/>
          <w:szCs w:val="24"/>
        </w:rPr>
        <w:t xml:space="preserve"> guidance </w:t>
      </w:r>
      <w:r w:rsidR="007242E5">
        <w:rPr>
          <w:rFonts w:cs="Arial"/>
          <w:szCs w:val="24"/>
        </w:rPr>
        <w:t xml:space="preserve">has been </w:t>
      </w:r>
      <w:r w:rsidR="00BC6E7F">
        <w:rPr>
          <w:rFonts w:cs="Arial"/>
          <w:szCs w:val="24"/>
        </w:rPr>
        <w:t xml:space="preserve">designed as comprehensive but practical </w:t>
      </w:r>
      <w:r w:rsidR="00166BE9">
        <w:rPr>
          <w:rFonts w:cs="Arial"/>
          <w:szCs w:val="24"/>
        </w:rPr>
        <w:t>guidance</w:t>
      </w:r>
      <w:r w:rsidR="006B5E92">
        <w:rPr>
          <w:rFonts w:cs="Arial"/>
          <w:szCs w:val="24"/>
        </w:rPr>
        <w:t>,</w:t>
      </w:r>
      <w:r w:rsidR="00BC6E7F">
        <w:rPr>
          <w:rFonts w:cs="Arial"/>
          <w:szCs w:val="24"/>
        </w:rPr>
        <w:t xml:space="preserve"> </w:t>
      </w:r>
      <w:r w:rsidR="006B5E92">
        <w:rPr>
          <w:rFonts w:cs="Arial"/>
          <w:szCs w:val="24"/>
        </w:rPr>
        <w:t>which enables</w:t>
      </w:r>
      <w:r w:rsidR="00BC6E7F">
        <w:rPr>
          <w:rFonts w:cs="Arial"/>
          <w:szCs w:val="24"/>
        </w:rPr>
        <w:t xml:space="preserve"> all participants</w:t>
      </w:r>
      <w:r w:rsidR="00E93174">
        <w:rPr>
          <w:rFonts w:cs="Arial"/>
          <w:szCs w:val="24"/>
        </w:rPr>
        <w:t xml:space="preserve"> (</w:t>
      </w:r>
      <w:r w:rsidR="006411A0">
        <w:rPr>
          <w:rFonts w:cs="Arial"/>
          <w:szCs w:val="24"/>
        </w:rPr>
        <w:t>data controllers)</w:t>
      </w:r>
      <w:r w:rsidR="00BC6E7F">
        <w:rPr>
          <w:rFonts w:cs="Arial"/>
          <w:szCs w:val="24"/>
        </w:rPr>
        <w:t xml:space="preserve"> in the LHCR programme </w:t>
      </w:r>
      <w:r w:rsidR="006B5E92">
        <w:rPr>
          <w:rFonts w:cs="Arial"/>
          <w:szCs w:val="24"/>
        </w:rPr>
        <w:t xml:space="preserve">to </w:t>
      </w:r>
      <w:r w:rsidR="002618CF">
        <w:rPr>
          <w:rFonts w:cs="Arial"/>
          <w:szCs w:val="24"/>
        </w:rPr>
        <w:t xml:space="preserve">meet their </w:t>
      </w:r>
      <w:r w:rsidR="00A240D2">
        <w:rPr>
          <w:rFonts w:cs="Arial"/>
          <w:szCs w:val="24"/>
        </w:rPr>
        <w:t>information governance</w:t>
      </w:r>
      <w:r w:rsidR="002618CF">
        <w:rPr>
          <w:rFonts w:cs="Arial"/>
          <w:szCs w:val="24"/>
        </w:rPr>
        <w:t xml:space="preserve"> responsibilities. It is principally written for </w:t>
      </w:r>
      <w:r w:rsidR="00A240D2">
        <w:rPr>
          <w:rFonts w:cs="Arial"/>
          <w:szCs w:val="24"/>
        </w:rPr>
        <w:t>i</w:t>
      </w:r>
      <w:r w:rsidR="00A63F37">
        <w:rPr>
          <w:rFonts w:cs="Arial"/>
          <w:szCs w:val="24"/>
        </w:rPr>
        <w:t xml:space="preserve">nformation </w:t>
      </w:r>
      <w:r w:rsidR="00A240D2">
        <w:rPr>
          <w:rFonts w:cs="Arial"/>
          <w:szCs w:val="24"/>
        </w:rPr>
        <w:t>g</w:t>
      </w:r>
      <w:r w:rsidR="00A63F37">
        <w:rPr>
          <w:rFonts w:cs="Arial"/>
          <w:szCs w:val="24"/>
        </w:rPr>
        <w:t>overnance</w:t>
      </w:r>
      <w:r w:rsidR="002618CF">
        <w:rPr>
          <w:rFonts w:cs="Arial"/>
          <w:szCs w:val="24"/>
        </w:rPr>
        <w:t xml:space="preserve"> professionals</w:t>
      </w:r>
      <w:r w:rsidR="001130BE">
        <w:rPr>
          <w:rFonts w:cs="Arial"/>
          <w:szCs w:val="24"/>
        </w:rPr>
        <w:t xml:space="preserve"> although it will be helpful for all those who are involved in </w:t>
      </w:r>
      <w:r w:rsidR="00461EE9">
        <w:rPr>
          <w:rFonts w:cs="Arial"/>
          <w:szCs w:val="24"/>
        </w:rPr>
        <w:t xml:space="preserve">using </w:t>
      </w:r>
      <w:r w:rsidR="00AC7419">
        <w:rPr>
          <w:rFonts w:cs="Arial"/>
          <w:szCs w:val="24"/>
        </w:rPr>
        <w:t xml:space="preserve">patient </w:t>
      </w:r>
      <w:r w:rsidR="00461EE9">
        <w:rPr>
          <w:rFonts w:cs="Arial"/>
          <w:szCs w:val="24"/>
        </w:rPr>
        <w:t xml:space="preserve">information </w:t>
      </w:r>
      <w:r w:rsidR="00AC7419">
        <w:rPr>
          <w:rFonts w:cs="Arial"/>
          <w:szCs w:val="24"/>
        </w:rPr>
        <w:t>generated by</w:t>
      </w:r>
      <w:r w:rsidR="00461EE9">
        <w:rPr>
          <w:rFonts w:cs="Arial"/>
          <w:szCs w:val="24"/>
        </w:rPr>
        <w:t xml:space="preserve"> </w:t>
      </w:r>
      <w:r w:rsidR="00AC7419">
        <w:rPr>
          <w:rFonts w:cs="Arial"/>
          <w:szCs w:val="24"/>
        </w:rPr>
        <w:t>individual LHCRs</w:t>
      </w:r>
      <w:r w:rsidR="00652517">
        <w:rPr>
          <w:rFonts w:cs="Arial"/>
          <w:szCs w:val="24"/>
        </w:rPr>
        <w:t xml:space="preserve">. It provides </w:t>
      </w:r>
      <w:r w:rsidR="00C037FC">
        <w:rPr>
          <w:rFonts w:cs="Arial"/>
          <w:szCs w:val="24"/>
        </w:rPr>
        <w:t xml:space="preserve">advice </w:t>
      </w:r>
      <w:r w:rsidR="00652517">
        <w:rPr>
          <w:rFonts w:cs="Arial"/>
          <w:szCs w:val="24"/>
        </w:rPr>
        <w:t>around some of the complex areas</w:t>
      </w:r>
      <w:r w:rsidR="00DE59A8">
        <w:rPr>
          <w:rFonts w:cs="Arial"/>
          <w:szCs w:val="24"/>
        </w:rPr>
        <w:t>,</w:t>
      </w:r>
      <w:r w:rsidR="00652517">
        <w:rPr>
          <w:rFonts w:cs="Arial"/>
          <w:szCs w:val="24"/>
        </w:rPr>
        <w:t xml:space="preserve"> which will apply to LHCRs such as joint data controllership</w:t>
      </w:r>
      <w:r w:rsidR="00B44CC2">
        <w:rPr>
          <w:rFonts w:cs="Arial"/>
          <w:szCs w:val="24"/>
        </w:rPr>
        <w:t xml:space="preserve"> a</w:t>
      </w:r>
      <w:r w:rsidR="005554AB">
        <w:rPr>
          <w:rFonts w:cs="Arial"/>
          <w:szCs w:val="24"/>
        </w:rPr>
        <w:t xml:space="preserve">nd </w:t>
      </w:r>
      <w:r w:rsidR="00CC55FC">
        <w:rPr>
          <w:rFonts w:cs="Arial"/>
          <w:szCs w:val="24"/>
        </w:rPr>
        <w:t>considering</w:t>
      </w:r>
      <w:r w:rsidR="005554AB">
        <w:rPr>
          <w:rFonts w:cs="Arial"/>
          <w:szCs w:val="24"/>
        </w:rPr>
        <w:t xml:space="preserve"> patients’ </w:t>
      </w:r>
      <w:r w:rsidR="00CB6B22">
        <w:rPr>
          <w:rFonts w:cs="Arial"/>
          <w:szCs w:val="24"/>
        </w:rPr>
        <w:t>choices about how their data is used</w:t>
      </w:r>
      <w:r w:rsidR="001130BE">
        <w:rPr>
          <w:rFonts w:cs="Arial"/>
          <w:szCs w:val="24"/>
        </w:rPr>
        <w:t>. It also</w:t>
      </w:r>
      <w:r w:rsidR="00B804B0">
        <w:rPr>
          <w:rFonts w:cs="Arial"/>
          <w:szCs w:val="24"/>
        </w:rPr>
        <w:t xml:space="preserve"> provides practical tools and templates for </w:t>
      </w:r>
      <w:r w:rsidR="00D35783">
        <w:rPr>
          <w:rFonts w:cs="Arial"/>
          <w:szCs w:val="24"/>
        </w:rPr>
        <w:t>organisations to use.</w:t>
      </w:r>
      <w:r w:rsidR="001130BE">
        <w:rPr>
          <w:rFonts w:cs="Arial"/>
          <w:szCs w:val="24"/>
        </w:rPr>
        <w:t xml:space="preserve"> </w:t>
      </w:r>
    </w:p>
    <w:p w14:paraId="5711E060" w14:textId="77777777" w:rsidR="007221E8" w:rsidRDefault="007221E8" w:rsidP="00241D06">
      <w:pPr>
        <w:spacing w:before="0" w:after="0" w:line="276" w:lineRule="auto"/>
        <w:jc w:val="both"/>
        <w:rPr>
          <w:rFonts w:cs="Arial"/>
          <w:szCs w:val="24"/>
        </w:rPr>
      </w:pPr>
    </w:p>
    <w:p w14:paraId="63D9AACC" w14:textId="77777777" w:rsidR="00186592" w:rsidRPr="00032CF3" w:rsidRDefault="00C2455A" w:rsidP="00241D06">
      <w:pPr>
        <w:spacing w:before="0" w:after="0" w:line="276" w:lineRule="auto"/>
        <w:jc w:val="both"/>
        <w:rPr>
          <w:rFonts w:cs="Arial"/>
          <w:szCs w:val="24"/>
        </w:rPr>
      </w:pPr>
      <w:r>
        <w:rPr>
          <w:rFonts w:cs="Arial"/>
          <w:szCs w:val="24"/>
        </w:rPr>
        <w:t>This is all</w:t>
      </w:r>
      <w:r w:rsidR="00B804B0">
        <w:rPr>
          <w:rFonts w:cs="Arial"/>
          <w:szCs w:val="24"/>
        </w:rPr>
        <w:t xml:space="preserve"> </w:t>
      </w:r>
      <w:r w:rsidR="00186592" w:rsidRPr="00032CF3">
        <w:rPr>
          <w:rFonts w:cs="Arial"/>
          <w:szCs w:val="24"/>
        </w:rPr>
        <w:t xml:space="preserve">provided in </w:t>
      </w:r>
      <w:r>
        <w:rPr>
          <w:rFonts w:cs="Arial"/>
          <w:szCs w:val="24"/>
        </w:rPr>
        <w:t>a way that is</w:t>
      </w:r>
      <w:r w:rsidR="00186592" w:rsidRPr="00032CF3">
        <w:rPr>
          <w:rFonts w:cs="Arial"/>
          <w:szCs w:val="24"/>
        </w:rPr>
        <w:t xml:space="preserve"> designed to be of immediate, practical help to the LHCRs to improve their </w:t>
      </w:r>
      <w:r w:rsidR="00A63F37">
        <w:rPr>
          <w:rFonts w:cs="Arial"/>
          <w:szCs w:val="24"/>
        </w:rPr>
        <w:t>information governance</w:t>
      </w:r>
      <w:r w:rsidR="00186592" w:rsidRPr="00032CF3">
        <w:rPr>
          <w:rFonts w:cs="Arial"/>
          <w:szCs w:val="24"/>
        </w:rPr>
        <w:t xml:space="preserve"> and build trust with the people they serve. The framework is expected to be a working document and will evolve over time to meet the needs of those who use it, taking account of operational experience and reflecting any changes to policy, technology and the law.</w:t>
      </w:r>
    </w:p>
    <w:p w14:paraId="307A51D7" w14:textId="77777777" w:rsidR="00A24F2A" w:rsidRDefault="00A24F2A">
      <w:pPr>
        <w:spacing w:before="0" w:after="160" w:line="259" w:lineRule="auto"/>
        <w:rPr>
          <w:rFonts w:eastAsiaTheme="majorEastAsia" w:cs="Arial"/>
          <w:color w:val="FF0000"/>
          <w:szCs w:val="24"/>
        </w:rPr>
      </w:pPr>
    </w:p>
    <w:p w14:paraId="5FA27700" w14:textId="77777777" w:rsidR="006B5E92" w:rsidRDefault="00A24F2A">
      <w:pPr>
        <w:spacing w:before="0" w:after="160" w:line="259" w:lineRule="auto"/>
        <w:rPr>
          <w:rFonts w:eastAsiaTheme="majorEastAsia" w:cs="Arial"/>
          <w:color w:val="FF0000"/>
          <w:szCs w:val="24"/>
        </w:rPr>
      </w:pPr>
      <w:r w:rsidRPr="00A24F2A">
        <w:rPr>
          <w:rFonts w:eastAsiaTheme="majorEastAsia" w:cs="Arial"/>
          <w:color w:val="FF0000"/>
          <w:szCs w:val="24"/>
        </w:rPr>
        <w:t>DN - Expand on each journey to include details of end points and include what the framework is not (1.11.3)</w:t>
      </w:r>
      <w:r w:rsidR="006B5E92">
        <w:rPr>
          <w:rFonts w:eastAsiaTheme="majorEastAsia" w:cs="Arial"/>
          <w:color w:val="FF0000"/>
          <w:szCs w:val="24"/>
        </w:rPr>
        <w:br w:type="page"/>
      </w:r>
    </w:p>
    <w:p w14:paraId="76BC294B" w14:textId="77777777" w:rsidR="00186592" w:rsidRPr="00032CF3" w:rsidRDefault="00186592" w:rsidP="00186592">
      <w:pPr>
        <w:pStyle w:val="Heading1"/>
        <w:numPr>
          <w:ilvl w:val="0"/>
          <w:numId w:val="0"/>
        </w:numPr>
        <w:rPr>
          <w:rFonts w:cs="Arial"/>
          <w:szCs w:val="72"/>
        </w:rPr>
      </w:pPr>
      <w:bookmarkStart w:id="6" w:name="_Toc10223045"/>
      <w:r w:rsidRPr="00032CF3">
        <w:rPr>
          <w:rFonts w:cs="Arial"/>
          <w:szCs w:val="72"/>
        </w:rPr>
        <w:lastRenderedPageBreak/>
        <w:t>1. Introduction</w:t>
      </w:r>
      <w:bookmarkEnd w:id="6"/>
    </w:p>
    <w:p w14:paraId="2B890A79" w14:textId="77777777" w:rsidR="00186592" w:rsidRPr="00032CF3" w:rsidRDefault="00186592" w:rsidP="00186592">
      <w:pPr>
        <w:spacing w:before="0" w:after="0" w:line="276" w:lineRule="auto"/>
        <w:jc w:val="both"/>
        <w:rPr>
          <w:rFonts w:cs="Arial"/>
          <w:szCs w:val="22"/>
        </w:rPr>
      </w:pPr>
      <w:r w:rsidRPr="00032CF3">
        <w:rPr>
          <w:rFonts w:cs="Arial"/>
          <w:szCs w:val="22"/>
        </w:rPr>
        <w:t>The invitation to participate</w:t>
      </w:r>
      <w:r w:rsidRPr="00032CF3">
        <w:rPr>
          <w:rStyle w:val="FootnoteReference"/>
          <w:rFonts w:cs="Arial"/>
          <w:szCs w:val="22"/>
        </w:rPr>
        <w:footnoteReference w:id="3"/>
      </w:r>
      <w:r w:rsidRPr="00032CF3">
        <w:rPr>
          <w:rFonts w:cs="Arial"/>
          <w:szCs w:val="22"/>
        </w:rPr>
        <w:t xml:space="preserve"> in the LHCR programme promised</w:t>
      </w:r>
      <w:r w:rsidRPr="00032CF3">
        <w:rPr>
          <w:rFonts w:cs="Arial"/>
          <w:i/>
          <w:szCs w:val="22"/>
        </w:rPr>
        <w:t>: “This will all be undertaken within a consistent national framework of information governance which will assist exemplars to meet their legal obligations</w:t>
      </w:r>
      <w:r w:rsidR="00DE59A8">
        <w:rPr>
          <w:rFonts w:cs="Arial"/>
          <w:i/>
          <w:szCs w:val="22"/>
        </w:rPr>
        <w:t>'</w:t>
      </w:r>
      <w:r w:rsidRPr="00032CF3">
        <w:rPr>
          <w:rFonts w:cs="Arial"/>
          <w:szCs w:val="22"/>
        </w:rPr>
        <w:t xml:space="preserve"> </w:t>
      </w:r>
    </w:p>
    <w:p w14:paraId="436390E9" w14:textId="77777777" w:rsidR="00186592" w:rsidRPr="00032CF3" w:rsidRDefault="00186592" w:rsidP="00186592">
      <w:pPr>
        <w:spacing w:before="0" w:after="0" w:line="276" w:lineRule="auto"/>
        <w:jc w:val="both"/>
        <w:rPr>
          <w:rFonts w:cs="Arial"/>
          <w:szCs w:val="22"/>
        </w:rPr>
      </w:pPr>
    </w:p>
    <w:p w14:paraId="5DBB0306" w14:textId="77777777" w:rsidR="00186592" w:rsidRPr="00032CF3" w:rsidRDefault="00186592" w:rsidP="00186592">
      <w:pPr>
        <w:spacing w:before="0" w:after="0" w:line="276" w:lineRule="auto"/>
        <w:jc w:val="both"/>
        <w:rPr>
          <w:rFonts w:cs="Arial"/>
          <w:szCs w:val="22"/>
        </w:rPr>
      </w:pPr>
      <w:r w:rsidRPr="00032CF3">
        <w:rPr>
          <w:rFonts w:cs="Arial"/>
          <w:szCs w:val="22"/>
        </w:rPr>
        <w:t xml:space="preserve">As part of the bidding process, local areas were asked to submit details of their current </w:t>
      </w:r>
      <w:r w:rsidR="00A240D2">
        <w:rPr>
          <w:rFonts w:cs="Arial"/>
          <w:szCs w:val="22"/>
        </w:rPr>
        <w:t>information governance</w:t>
      </w:r>
      <w:r w:rsidRPr="00032CF3">
        <w:rPr>
          <w:rFonts w:cs="Arial"/>
          <w:szCs w:val="22"/>
        </w:rPr>
        <w:t xml:space="preserve"> arrangements, including the steps they have taken to ensure compliance with the law and maintain high standards of data security. This revealed much evidence of good practice, but also room for improvement, even among those whose bids were successful.</w:t>
      </w:r>
    </w:p>
    <w:p w14:paraId="6A6FE8D9" w14:textId="77777777" w:rsidR="00BD0D1F" w:rsidRPr="00032CF3" w:rsidRDefault="00BD0D1F" w:rsidP="00BD0D1F">
      <w:pPr>
        <w:spacing w:before="0" w:after="0" w:line="276" w:lineRule="auto"/>
        <w:jc w:val="both"/>
        <w:rPr>
          <w:rFonts w:cs="Arial"/>
          <w:szCs w:val="22"/>
        </w:rPr>
      </w:pPr>
    </w:p>
    <w:p w14:paraId="6244CDB5" w14:textId="77777777" w:rsidR="00647DAF" w:rsidRDefault="00B1457D" w:rsidP="00BD0D1F">
      <w:pPr>
        <w:spacing w:before="0" w:after="0" w:line="276" w:lineRule="auto"/>
        <w:jc w:val="both"/>
        <w:rPr>
          <w:rFonts w:cs="Arial"/>
          <w:szCs w:val="22"/>
        </w:rPr>
      </w:pPr>
      <w:r w:rsidRPr="00032CF3">
        <w:rPr>
          <w:rFonts w:cs="Arial"/>
          <w:szCs w:val="22"/>
        </w:rPr>
        <w:t xml:space="preserve">It is essential that innovative ways of working are tested against </w:t>
      </w:r>
      <w:r w:rsidR="001D00FF" w:rsidRPr="00032CF3">
        <w:rPr>
          <w:rFonts w:cs="Arial"/>
          <w:szCs w:val="22"/>
        </w:rPr>
        <w:t xml:space="preserve">relevant law and guidance including </w:t>
      </w:r>
      <w:r w:rsidRPr="00032CF3">
        <w:rPr>
          <w:rFonts w:cs="Arial"/>
          <w:szCs w:val="22"/>
        </w:rPr>
        <w:t>the data protection legislation (G</w:t>
      </w:r>
      <w:r w:rsidR="00642313" w:rsidRPr="00032CF3">
        <w:rPr>
          <w:rFonts w:cs="Arial"/>
          <w:szCs w:val="22"/>
        </w:rPr>
        <w:t>eneral Data Protection Regulation [G</w:t>
      </w:r>
      <w:r w:rsidRPr="00032CF3">
        <w:rPr>
          <w:rFonts w:cs="Arial"/>
          <w:szCs w:val="22"/>
        </w:rPr>
        <w:t>DPR</w:t>
      </w:r>
      <w:r w:rsidR="00642313" w:rsidRPr="00032CF3">
        <w:rPr>
          <w:rFonts w:cs="Arial"/>
          <w:szCs w:val="22"/>
        </w:rPr>
        <w:t>]</w:t>
      </w:r>
      <w:r w:rsidRPr="00032CF3">
        <w:rPr>
          <w:rFonts w:cs="Arial"/>
          <w:szCs w:val="22"/>
        </w:rPr>
        <w:t xml:space="preserve"> and the Data Protection Act 2018)</w:t>
      </w:r>
      <w:r w:rsidR="00BE6250" w:rsidRPr="00032CF3">
        <w:rPr>
          <w:rFonts w:cs="Arial"/>
          <w:szCs w:val="22"/>
        </w:rPr>
        <w:t xml:space="preserve"> and </w:t>
      </w:r>
      <w:r w:rsidR="001D00FF" w:rsidRPr="00032CF3">
        <w:rPr>
          <w:rFonts w:cs="Arial"/>
          <w:szCs w:val="22"/>
        </w:rPr>
        <w:t>the Common Law Dut</w:t>
      </w:r>
      <w:r w:rsidR="00BE6250" w:rsidRPr="00032CF3">
        <w:rPr>
          <w:rFonts w:cs="Arial"/>
          <w:szCs w:val="22"/>
        </w:rPr>
        <w:t>y of Confidence</w:t>
      </w:r>
      <w:r w:rsidRPr="00032CF3">
        <w:rPr>
          <w:rFonts w:cs="Arial"/>
          <w:szCs w:val="22"/>
        </w:rPr>
        <w:t xml:space="preserve">. </w:t>
      </w:r>
      <w:r w:rsidR="00095911" w:rsidRPr="00032CF3">
        <w:rPr>
          <w:rFonts w:cs="Arial"/>
          <w:szCs w:val="22"/>
        </w:rPr>
        <w:t xml:space="preserve">While individual LHCRs </w:t>
      </w:r>
      <w:r w:rsidR="00F72C4B" w:rsidRPr="00032CF3">
        <w:rPr>
          <w:rFonts w:cs="Arial"/>
          <w:szCs w:val="22"/>
        </w:rPr>
        <w:t xml:space="preserve">will reflect local priorities and differences, </w:t>
      </w:r>
      <w:r w:rsidR="0074588A" w:rsidRPr="00032CF3">
        <w:rPr>
          <w:rFonts w:cs="Arial"/>
          <w:szCs w:val="22"/>
        </w:rPr>
        <w:t xml:space="preserve">there will need to be a consistent national approach to </w:t>
      </w:r>
      <w:r w:rsidR="00D55962">
        <w:rPr>
          <w:rFonts w:cs="Arial"/>
          <w:szCs w:val="22"/>
        </w:rPr>
        <w:t>information governance</w:t>
      </w:r>
      <w:r w:rsidR="00D55962" w:rsidRPr="00032CF3">
        <w:rPr>
          <w:rFonts w:cs="Arial"/>
          <w:szCs w:val="22"/>
        </w:rPr>
        <w:t xml:space="preserve"> </w:t>
      </w:r>
      <w:r w:rsidR="0074588A" w:rsidRPr="00032CF3">
        <w:rPr>
          <w:rFonts w:cs="Arial"/>
          <w:szCs w:val="22"/>
        </w:rPr>
        <w:t xml:space="preserve">considerations involved in establishing and operating a LHCR. </w:t>
      </w:r>
      <w:r w:rsidR="008A4A76" w:rsidRPr="00032CF3">
        <w:rPr>
          <w:rFonts w:cs="Arial"/>
          <w:szCs w:val="22"/>
        </w:rPr>
        <w:t xml:space="preserve"> This will support</w:t>
      </w:r>
      <w:r w:rsidR="00DE59A8">
        <w:rPr>
          <w:rFonts w:cs="Arial"/>
          <w:szCs w:val="22"/>
        </w:rPr>
        <w:t xml:space="preserve">, </w:t>
      </w:r>
      <w:r w:rsidR="008A4A76" w:rsidRPr="00032CF3">
        <w:rPr>
          <w:rFonts w:cs="Arial"/>
          <w:szCs w:val="22"/>
        </w:rPr>
        <w:t>build and maint</w:t>
      </w:r>
      <w:r w:rsidR="00DE59A8">
        <w:rPr>
          <w:rFonts w:cs="Arial"/>
          <w:szCs w:val="22"/>
        </w:rPr>
        <w:t>ain</w:t>
      </w:r>
      <w:r w:rsidR="008A4A76" w:rsidRPr="00032CF3">
        <w:rPr>
          <w:rFonts w:cs="Arial"/>
          <w:szCs w:val="22"/>
        </w:rPr>
        <w:t xml:space="preserve"> public trust and confidence. </w:t>
      </w:r>
      <w:r w:rsidR="00262EC7" w:rsidRPr="00032CF3">
        <w:rPr>
          <w:rFonts w:cs="Arial"/>
          <w:szCs w:val="22"/>
        </w:rPr>
        <w:t xml:space="preserve">The </w:t>
      </w:r>
      <w:r w:rsidR="00D55962">
        <w:rPr>
          <w:rFonts w:cs="Arial"/>
          <w:szCs w:val="22"/>
        </w:rPr>
        <w:t>Information Governance</w:t>
      </w:r>
      <w:r w:rsidR="002B408E" w:rsidRPr="00032CF3">
        <w:rPr>
          <w:rFonts w:cs="Arial"/>
          <w:szCs w:val="22"/>
        </w:rPr>
        <w:t xml:space="preserve"> </w:t>
      </w:r>
      <w:r w:rsidR="00D55962">
        <w:rPr>
          <w:rFonts w:cs="Arial"/>
          <w:szCs w:val="22"/>
        </w:rPr>
        <w:t>F</w:t>
      </w:r>
      <w:r w:rsidR="002B408E" w:rsidRPr="00032CF3">
        <w:rPr>
          <w:rFonts w:cs="Arial"/>
          <w:szCs w:val="22"/>
        </w:rPr>
        <w:t>ramework</w:t>
      </w:r>
      <w:r w:rsidRPr="00032CF3">
        <w:rPr>
          <w:rFonts w:cs="Arial"/>
          <w:szCs w:val="22"/>
        </w:rPr>
        <w:t xml:space="preserve"> will provide a clear, coherent, compliant and accountable</w:t>
      </w:r>
      <w:r w:rsidR="002F2B0F" w:rsidRPr="00032CF3">
        <w:rPr>
          <w:rFonts w:cs="Arial"/>
          <w:szCs w:val="22"/>
        </w:rPr>
        <w:t xml:space="preserve"> approach to the use of health and social care data </w:t>
      </w:r>
      <w:r w:rsidRPr="00032CF3">
        <w:rPr>
          <w:rFonts w:cs="Arial"/>
          <w:szCs w:val="22"/>
        </w:rPr>
        <w:t>even if the delivery mechan</w:t>
      </w:r>
      <w:r w:rsidR="002F2B0F" w:rsidRPr="00032CF3">
        <w:rPr>
          <w:rFonts w:cs="Arial"/>
          <w:szCs w:val="22"/>
        </w:rPr>
        <w:t>isms and systems are different</w:t>
      </w:r>
      <w:r w:rsidR="00033664">
        <w:rPr>
          <w:rFonts w:cs="Arial"/>
          <w:szCs w:val="22"/>
        </w:rPr>
        <w:t>.</w:t>
      </w:r>
    </w:p>
    <w:p w14:paraId="049482C8" w14:textId="77777777" w:rsidR="00FE77C8" w:rsidRDefault="00FE77C8" w:rsidP="00BD0D1F">
      <w:pPr>
        <w:spacing w:before="0" w:after="0" w:line="276" w:lineRule="auto"/>
        <w:jc w:val="both"/>
        <w:rPr>
          <w:rFonts w:cs="Arial"/>
          <w:szCs w:val="22"/>
        </w:rPr>
      </w:pPr>
    </w:p>
    <w:p w14:paraId="5069E6F5" w14:textId="7C3F7D59" w:rsidR="00FE77C8" w:rsidRPr="00F91B88" w:rsidRDefault="00FE77C8" w:rsidP="00FE77C8">
      <w:pPr>
        <w:autoSpaceDE w:val="0"/>
        <w:autoSpaceDN w:val="0"/>
        <w:adjustRightInd w:val="0"/>
        <w:spacing w:before="0" w:after="0" w:line="276" w:lineRule="auto"/>
        <w:jc w:val="both"/>
        <w:rPr>
          <w:rFonts w:cs="Arial"/>
          <w:color w:val="000000" w:themeColor="text1"/>
          <w:szCs w:val="24"/>
        </w:rPr>
      </w:pPr>
      <w:r w:rsidRPr="00F91B88">
        <w:rPr>
          <w:rFonts w:cs="Arial"/>
          <w:color w:val="000000" w:themeColor="text1"/>
          <w:szCs w:val="24"/>
        </w:rPr>
        <w:t xml:space="preserve">In association with this IG Framework technical documents are being prepared which will include authentication, audit, protection of APIs, redaction, </w:t>
      </w:r>
      <w:r w:rsidR="00110EA7" w:rsidRPr="00F91B88">
        <w:rPr>
          <w:rFonts w:cs="Arial"/>
          <w:color w:val="000000" w:themeColor="text1"/>
          <w:szCs w:val="24"/>
        </w:rPr>
        <w:t>handling</w:t>
      </w:r>
      <w:r w:rsidRPr="00F91B88">
        <w:rPr>
          <w:rFonts w:cs="Arial"/>
          <w:color w:val="000000" w:themeColor="text1"/>
          <w:szCs w:val="24"/>
        </w:rPr>
        <w:t xml:space="preserve"> patient objections to sharing and other enabling security functions.</w:t>
      </w:r>
    </w:p>
    <w:p w14:paraId="09CE169B" w14:textId="77777777" w:rsidR="00FE77C8" w:rsidRPr="00032CF3" w:rsidRDefault="00FE77C8" w:rsidP="00BD0D1F">
      <w:pPr>
        <w:spacing w:before="0" w:after="0" w:line="276" w:lineRule="auto"/>
        <w:jc w:val="both"/>
        <w:rPr>
          <w:rFonts w:cs="Arial"/>
          <w:szCs w:val="22"/>
        </w:rPr>
      </w:pPr>
    </w:p>
    <w:p w14:paraId="4245E45E" w14:textId="77777777" w:rsidR="000B5F9D" w:rsidRPr="00032CF3" w:rsidRDefault="000B5F9D">
      <w:pPr>
        <w:spacing w:before="0" w:after="160" w:line="259" w:lineRule="auto"/>
        <w:rPr>
          <w:rFonts w:eastAsiaTheme="majorEastAsia" w:cs="Arial"/>
          <w:b/>
          <w:bCs w:val="0"/>
          <w:color w:val="0072C6"/>
          <w:sz w:val="72"/>
          <w:szCs w:val="32"/>
          <w:lang w:eastAsia="en-GB"/>
        </w:rPr>
      </w:pPr>
      <w:r w:rsidRPr="00032CF3">
        <w:rPr>
          <w:rFonts w:cs="Arial"/>
          <w:lang w:eastAsia="en-GB"/>
        </w:rPr>
        <w:br w:type="page"/>
      </w:r>
    </w:p>
    <w:p w14:paraId="0E56BC7F" w14:textId="77777777" w:rsidR="000B04D1" w:rsidRPr="00032CF3" w:rsidRDefault="000B04D1" w:rsidP="000B04D1">
      <w:pPr>
        <w:pStyle w:val="Heading1"/>
        <w:numPr>
          <w:ilvl w:val="0"/>
          <w:numId w:val="0"/>
        </w:numPr>
        <w:rPr>
          <w:rFonts w:cs="Arial"/>
          <w:lang w:eastAsia="en-GB"/>
        </w:rPr>
      </w:pPr>
      <w:bookmarkStart w:id="7" w:name="_Toc10223046"/>
      <w:r w:rsidRPr="00032CF3">
        <w:rPr>
          <w:rFonts w:cs="Arial"/>
          <w:lang w:eastAsia="en-GB"/>
        </w:rPr>
        <w:lastRenderedPageBreak/>
        <w:t xml:space="preserve">2. Using the </w:t>
      </w:r>
      <w:r w:rsidR="00D55962">
        <w:rPr>
          <w:rFonts w:cs="Arial"/>
          <w:lang w:eastAsia="en-GB"/>
        </w:rPr>
        <w:t>Information Governance F</w:t>
      </w:r>
      <w:r w:rsidRPr="00032CF3">
        <w:rPr>
          <w:rFonts w:cs="Arial"/>
          <w:lang w:eastAsia="en-GB"/>
        </w:rPr>
        <w:t>ramework</w:t>
      </w:r>
      <w:bookmarkEnd w:id="7"/>
    </w:p>
    <w:p w14:paraId="308A1F84" w14:textId="77777777" w:rsidR="00E12E4E" w:rsidRDefault="00A965DD" w:rsidP="00E12E4E">
      <w:pPr>
        <w:spacing w:before="0" w:after="0" w:line="276" w:lineRule="auto"/>
        <w:jc w:val="both"/>
        <w:rPr>
          <w:rFonts w:ascii="Calibri" w:hAnsi="Calibri"/>
          <w:bCs w:val="0"/>
          <w:sz w:val="22"/>
          <w:szCs w:val="22"/>
        </w:rPr>
      </w:pPr>
      <w:r w:rsidRPr="00032CF3">
        <w:rPr>
          <w:rFonts w:cs="Arial"/>
          <w:szCs w:val="22"/>
          <w:lang w:eastAsia="en-GB"/>
        </w:rPr>
        <w:t xml:space="preserve">This </w:t>
      </w:r>
      <w:r w:rsidR="00EF0B0F" w:rsidRPr="00032CF3">
        <w:rPr>
          <w:rFonts w:cs="Arial"/>
          <w:szCs w:val="22"/>
          <w:lang w:eastAsia="en-GB"/>
        </w:rPr>
        <w:t>F</w:t>
      </w:r>
      <w:r w:rsidRPr="00032CF3">
        <w:rPr>
          <w:rFonts w:cs="Arial"/>
          <w:szCs w:val="22"/>
          <w:lang w:eastAsia="en-GB"/>
        </w:rPr>
        <w:t>ramework begins with general principles</w:t>
      </w:r>
      <w:r w:rsidR="00033664">
        <w:rPr>
          <w:rFonts w:cs="Arial"/>
          <w:szCs w:val="22"/>
          <w:lang w:eastAsia="en-GB"/>
        </w:rPr>
        <w:t>,</w:t>
      </w:r>
      <w:r w:rsidRPr="00032CF3">
        <w:rPr>
          <w:rFonts w:cs="Arial"/>
          <w:szCs w:val="22"/>
          <w:lang w:eastAsia="en-GB"/>
        </w:rPr>
        <w:t xml:space="preserve"> which will apply to all </w:t>
      </w:r>
      <w:r w:rsidR="003670E6" w:rsidRPr="00032CF3">
        <w:rPr>
          <w:rFonts w:cs="Arial"/>
          <w:szCs w:val="22"/>
          <w:lang w:eastAsia="en-GB"/>
        </w:rPr>
        <w:t>four</w:t>
      </w:r>
      <w:r w:rsidRPr="00032CF3">
        <w:rPr>
          <w:rFonts w:cs="Arial"/>
          <w:szCs w:val="22"/>
          <w:lang w:eastAsia="en-GB"/>
        </w:rPr>
        <w:t xml:space="preserve"> journeys. These are followed by a set of requirements for each journey </w:t>
      </w:r>
      <w:r w:rsidR="001059AA" w:rsidRPr="00032CF3">
        <w:rPr>
          <w:rFonts w:cs="Arial"/>
          <w:szCs w:val="22"/>
          <w:lang w:eastAsia="en-GB"/>
        </w:rPr>
        <w:t xml:space="preserve">with </w:t>
      </w:r>
      <w:r w:rsidRPr="00032CF3">
        <w:rPr>
          <w:rFonts w:cs="Arial"/>
          <w:szCs w:val="22"/>
          <w:lang w:eastAsia="en-GB"/>
        </w:rPr>
        <w:t>which LHCRs will need to comply</w:t>
      </w:r>
      <w:r w:rsidR="00E12E4E">
        <w:rPr>
          <w:rFonts w:cs="Arial"/>
          <w:szCs w:val="22"/>
          <w:lang w:eastAsia="en-GB"/>
        </w:rPr>
        <w:t>; t</w:t>
      </w:r>
      <w:r w:rsidR="00033664">
        <w:rPr>
          <w:rFonts w:cs="Arial"/>
          <w:szCs w:val="22"/>
        </w:rPr>
        <w:t xml:space="preserve">here is </w:t>
      </w:r>
      <w:r w:rsidR="00033664" w:rsidRPr="00032CF3">
        <w:rPr>
          <w:rFonts w:cs="Arial"/>
          <w:szCs w:val="22"/>
        </w:rPr>
        <w:t>an assurance checkpoint to assess attainment</w:t>
      </w:r>
      <w:r w:rsidR="00033664">
        <w:rPr>
          <w:rFonts w:cs="Arial"/>
          <w:szCs w:val="22"/>
        </w:rPr>
        <w:t xml:space="preserve">.  </w:t>
      </w:r>
      <w:r w:rsidR="00E12E4E">
        <w:t>A self-assessment Assurance Matrix is available at Appendix M for LHCRs to complete for submission to the external IG Assurance Panel as part of the assurance process.  LHCRs need to achieve satisfactory assurance on each checkpoint and be fully compliant across all checkpoints for Journey 1 by March 2020.  Where a LHCR already has a shared local health and care record in place they should use the Matrix to assure themselves and the assurance panel that they are compliant.  In the event that satisfactory assurance cannot be met support will be provided to achieve compliance.  </w:t>
      </w:r>
    </w:p>
    <w:p w14:paraId="3DE7DA74" w14:textId="77777777" w:rsidR="00646190" w:rsidRPr="00032CF3" w:rsidRDefault="00646190" w:rsidP="00764201">
      <w:pPr>
        <w:spacing w:before="0" w:after="0" w:line="276" w:lineRule="auto"/>
        <w:jc w:val="both"/>
        <w:rPr>
          <w:rFonts w:cs="Arial"/>
          <w:color w:val="FF0000"/>
          <w:szCs w:val="22"/>
        </w:rPr>
      </w:pPr>
    </w:p>
    <w:p w14:paraId="02B46345" w14:textId="0B603FFC" w:rsidR="00764201" w:rsidRPr="00032CF3" w:rsidRDefault="00764201" w:rsidP="00764201">
      <w:pPr>
        <w:spacing w:before="0" w:after="0" w:line="276" w:lineRule="auto"/>
        <w:jc w:val="both"/>
        <w:rPr>
          <w:rFonts w:eastAsiaTheme="minorHAnsi" w:cs="Arial"/>
          <w:szCs w:val="22"/>
        </w:rPr>
      </w:pPr>
      <w:r w:rsidRPr="00032CF3">
        <w:rPr>
          <w:rFonts w:cs="Arial"/>
          <w:szCs w:val="22"/>
        </w:rPr>
        <w:t xml:space="preserve">Many </w:t>
      </w:r>
      <w:r w:rsidR="003670E6" w:rsidRPr="00032CF3">
        <w:rPr>
          <w:rFonts w:cs="Arial"/>
          <w:szCs w:val="22"/>
        </w:rPr>
        <w:t>existing</w:t>
      </w:r>
      <w:r w:rsidR="00BD3FD3">
        <w:rPr>
          <w:rFonts w:cs="Arial"/>
          <w:szCs w:val="22"/>
        </w:rPr>
        <w:t xml:space="preserve"> LHCR member </w:t>
      </w:r>
      <w:r w:rsidR="00E560AE">
        <w:rPr>
          <w:rFonts w:cs="Arial"/>
          <w:szCs w:val="22"/>
        </w:rPr>
        <w:t>organisations</w:t>
      </w:r>
      <w:r w:rsidRPr="00032CF3">
        <w:rPr>
          <w:rFonts w:cs="Arial"/>
          <w:szCs w:val="22"/>
        </w:rPr>
        <w:t xml:space="preserve"> already have mature systems</w:t>
      </w:r>
      <w:r w:rsidR="00033664">
        <w:rPr>
          <w:rFonts w:cs="Arial"/>
          <w:szCs w:val="22"/>
        </w:rPr>
        <w:t>,</w:t>
      </w:r>
      <w:r w:rsidRPr="00032CF3">
        <w:rPr>
          <w:rFonts w:cs="Arial"/>
          <w:szCs w:val="22"/>
        </w:rPr>
        <w:t xml:space="preserve"> which aid the delivery of </w:t>
      </w:r>
      <w:r w:rsidR="00D55962">
        <w:rPr>
          <w:rFonts w:cs="Arial"/>
          <w:szCs w:val="22"/>
        </w:rPr>
        <w:t>information governance</w:t>
      </w:r>
      <w:r w:rsidR="00D55962" w:rsidRPr="00032CF3">
        <w:rPr>
          <w:rFonts w:cs="Arial"/>
          <w:szCs w:val="22"/>
        </w:rPr>
        <w:t xml:space="preserve"> </w:t>
      </w:r>
      <w:r w:rsidRPr="00032CF3">
        <w:rPr>
          <w:rFonts w:cs="Arial"/>
          <w:szCs w:val="22"/>
        </w:rPr>
        <w:t>commitments and requirements. It is anticipated that these local delivery systems will continue</w:t>
      </w:r>
      <w:r w:rsidR="00DD4C60" w:rsidRPr="00032CF3">
        <w:rPr>
          <w:rFonts w:cs="Arial"/>
          <w:szCs w:val="22"/>
        </w:rPr>
        <w:t xml:space="preserve"> and </w:t>
      </w:r>
      <w:r w:rsidR="001059AA" w:rsidRPr="00032CF3">
        <w:rPr>
          <w:rFonts w:cs="Arial"/>
          <w:szCs w:val="22"/>
        </w:rPr>
        <w:t>must</w:t>
      </w:r>
      <w:r w:rsidRPr="00032CF3">
        <w:rPr>
          <w:rFonts w:cs="Arial"/>
          <w:szCs w:val="22"/>
        </w:rPr>
        <w:t xml:space="preserve"> be </w:t>
      </w:r>
      <w:r w:rsidR="001059AA" w:rsidRPr="00032CF3">
        <w:rPr>
          <w:rFonts w:cs="Arial"/>
          <w:szCs w:val="22"/>
        </w:rPr>
        <w:t>externally assured</w:t>
      </w:r>
      <w:r w:rsidRPr="00032CF3">
        <w:rPr>
          <w:rFonts w:cs="Arial"/>
          <w:szCs w:val="22"/>
        </w:rPr>
        <w:t xml:space="preserve"> to ensure consistency with this </w:t>
      </w:r>
      <w:r w:rsidR="001A03A6" w:rsidRPr="00032CF3">
        <w:rPr>
          <w:rFonts w:cs="Arial"/>
          <w:szCs w:val="22"/>
        </w:rPr>
        <w:t>Framework.</w:t>
      </w:r>
      <w:r w:rsidRPr="00032CF3">
        <w:rPr>
          <w:rFonts w:cs="Arial"/>
          <w:szCs w:val="22"/>
        </w:rPr>
        <w:t xml:space="preserve"> As part of the </w:t>
      </w:r>
      <w:r w:rsidRPr="00A3708B">
        <w:rPr>
          <w:rFonts w:cs="Arial"/>
          <w:szCs w:val="24"/>
        </w:rPr>
        <w:t xml:space="preserve">LHCR </w:t>
      </w:r>
      <w:r w:rsidR="00D55962" w:rsidRPr="00911493">
        <w:rPr>
          <w:rFonts w:cs="Arial"/>
          <w:szCs w:val="24"/>
        </w:rPr>
        <w:t xml:space="preserve">Information Governance </w:t>
      </w:r>
      <w:r w:rsidR="00EF0B0F" w:rsidRPr="00A3708B">
        <w:rPr>
          <w:rFonts w:cs="Arial"/>
          <w:szCs w:val="24"/>
        </w:rPr>
        <w:t>L</w:t>
      </w:r>
      <w:r w:rsidR="004B4337" w:rsidRPr="00A3708B">
        <w:rPr>
          <w:rFonts w:cs="Arial"/>
          <w:szCs w:val="24"/>
        </w:rPr>
        <w:t>eads</w:t>
      </w:r>
      <w:r w:rsidR="004B4337" w:rsidRPr="00032CF3">
        <w:rPr>
          <w:rFonts w:cs="Arial"/>
          <w:szCs w:val="22"/>
        </w:rPr>
        <w:t xml:space="preserve"> </w:t>
      </w:r>
      <w:r w:rsidRPr="00032CF3">
        <w:rPr>
          <w:rFonts w:cs="Arial"/>
          <w:szCs w:val="22"/>
        </w:rPr>
        <w:t>Network, good practice from local systems should be shared and capitalised upon.</w:t>
      </w:r>
    </w:p>
    <w:p w14:paraId="5D50FA59" w14:textId="77777777" w:rsidR="00764201" w:rsidRPr="00032CF3" w:rsidRDefault="00764201" w:rsidP="00764201">
      <w:pPr>
        <w:spacing w:before="0" w:after="0" w:line="276" w:lineRule="auto"/>
        <w:jc w:val="both"/>
        <w:rPr>
          <w:rFonts w:cs="Arial"/>
          <w:color w:val="FF0000"/>
          <w:szCs w:val="22"/>
        </w:rPr>
      </w:pPr>
    </w:p>
    <w:p w14:paraId="06A10F97" w14:textId="77777777" w:rsidR="00A60340" w:rsidRPr="00032CF3" w:rsidRDefault="00A60340" w:rsidP="00477EF3">
      <w:pPr>
        <w:pStyle w:val="Heading2"/>
        <w:rPr>
          <w:rFonts w:cs="Arial"/>
          <w:lang w:eastAsia="en-GB"/>
        </w:rPr>
      </w:pPr>
      <w:bookmarkStart w:id="8" w:name="_Toc509468203"/>
      <w:bookmarkStart w:id="9" w:name="_Toc510797703"/>
      <w:bookmarkStart w:id="10" w:name="_Toc10223047"/>
      <w:bookmarkEnd w:id="0"/>
      <w:bookmarkEnd w:id="1"/>
      <w:r w:rsidRPr="00032CF3">
        <w:rPr>
          <w:rFonts w:cs="Arial"/>
          <w:lang w:eastAsia="en-GB"/>
        </w:rPr>
        <w:t xml:space="preserve">2.1 </w:t>
      </w:r>
      <w:r w:rsidR="002968F5">
        <w:rPr>
          <w:lang w:eastAsia="en-GB"/>
        </w:rPr>
        <w:t>Secondary Use Data Governance Tool</w:t>
      </w:r>
      <w:bookmarkEnd w:id="10"/>
    </w:p>
    <w:p w14:paraId="6BDFC382" w14:textId="77777777" w:rsidR="00A60340" w:rsidRPr="00032CF3" w:rsidRDefault="00F83365" w:rsidP="00764201">
      <w:pPr>
        <w:spacing w:before="0" w:after="0" w:line="276" w:lineRule="auto"/>
        <w:jc w:val="both"/>
        <w:rPr>
          <w:rFonts w:cs="Arial"/>
          <w:szCs w:val="22"/>
        </w:rPr>
      </w:pPr>
      <w:bookmarkStart w:id="11" w:name="_Hlk534965356"/>
      <w:r w:rsidRPr="00032CF3">
        <w:rPr>
          <w:rFonts w:cs="Arial"/>
          <w:szCs w:val="22"/>
        </w:rPr>
        <w:t xml:space="preserve">The Secondary Use Data Governance Tool (SUDGT) has </w:t>
      </w:r>
      <w:bookmarkEnd w:id="11"/>
      <w:r w:rsidR="000F7810" w:rsidRPr="00032CF3">
        <w:rPr>
          <w:rFonts w:cs="Arial"/>
          <w:szCs w:val="22"/>
        </w:rPr>
        <w:t xml:space="preserve">been developed by NHS England to support Sustainable Transformation Partnerships/Integrated Care Systems </w:t>
      </w:r>
      <w:r w:rsidR="00895A79" w:rsidRPr="00032CF3">
        <w:rPr>
          <w:rFonts w:cs="Arial"/>
          <w:szCs w:val="22"/>
        </w:rPr>
        <w:t>(</w:t>
      </w:r>
      <w:r w:rsidR="00C04FDC" w:rsidRPr="00032CF3">
        <w:rPr>
          <w:rFonts w:cs="Arial"/>
          <w:szCs w:val="22"/>
        </w:rPr>
        <w:t>STPs/</w:t>
      </w:r>
      <w:r w:rsidR="00895A79" w:rsidRPr="00032CF3">
        <w:rPr>
          <w:rFonts w:cs="Arial"/>
          <w:szCs w:val="22"/>
        </w:rPr>
        <w:t>ICS</w:t>
      </w:r>
      <w:r w:rsidR="00C04FDC" w:rsidRPr="00032CF3">
        <w:rPr>
          <w:rFonts w:cs="Arial"/>
          <w:szCs w:val="22"/>
        </w:rPr>
        <w:t>s</w:t>
      </w:r>
      <w:r w:rsidR="00895A79" w:rsidRPr="00032CF3">
        <w:rPr>
          <w:rFonts w:cs="Arial"/>
          <w:szCs w:val="22"/>
        </w:rPr>
        <w:t xml:space="preserve">) </w:t>
      </w:r>
      <w:r w:rsidR="000F7810" w:rsidRPr="00032CF3">
        <w:rPr>
          <w:rFonts w:cs="Arial"/>
          <w:szCs w:val="22"/>
        </w:rPr>
        <w:t xml:space="preserve">to implement robust governance processes to support their use of data, focused on data </w:t>
      </w:r>
      <w:r w:rsidR="0013369E" w:rsidRPr="00032CF3">
        <w:rPr>
          <w:rFonts w:cs="Arial"/>
          <w:szCs w:val="22"/>
        </w:rPr>
        <w:t>required for secondary purposes</w:t>
      </w:r>
      <w:r w:rsidR="000F7810" w:rsidRPr="00032CF3">
        <w:rPr>
          <w:rFonts w:cs="Arial"/>
          <w:szCs w:val="22"/>
        </w:rPr>
        <w:t xml:space="preserve"> </w:t>
      </w:r>
      <w:r w:rsidR="00A60340" w:rsidRPr="00032CF3">
        <w:rPr>
          <w:rFonts w:cs="Arial"/>
          <w:szCs w:val="22"/>
        </w:rPr>
        <w:t xml:space="preserve">(see </w:t>
      </w:r>
      <w:r w:rsidR="002A777F" w:rsidRPr="00032CF3">
        <w:rPr>
          <w:rFonts w:cs="Arial"/>
          <w:szCs w:val="22"/>
        </w:rPr>
        <w:t xml:space="preserve">Appendix </w:t>
      </w:r>
      <w:r w:rsidR="00741463" w:rsidRPr="00032CF3">
        <w:rPr>
          <w:rFonts w:cs="Arial"/>
          <w:szCs w:val="22"/>
        </w:rPr>
        <w:t>H for link</w:t>
      </w:r>
      <w:r w:rsidR="00A60340" w:rsidRPr="00032CF3">
        <w:rPr>
          <w:rFonts w:cs="Arial"/>
          <w:szCs w:val="22"/>
        </w:rPr>
        <w:t>)</w:t>
      </w:r>
      <w:r w:rsidR="0013369E" w:rsidRPr="00032CF3">
        <w:rPr>
          <w:rFonts w:cs="Arial"/>
          <w:szCs w:val="22"/>
        </w:rPr>
        <w:t>.</w:t>
      </w:r>
    </w:p>
    <w:p w14:paraId="025C4027" w14:textId="77777777" w:rsidR="00991F77" w:rsidRPr="00032CF3" w:rsidRDefault="00991F77" w:rsidP="00F46166">
      <w:pPr>
        <w:spacing w:before="0" w:after="0" w:line="276" w:lineRule="auto"/>
        <w:jc w:val="both"/>
        <w:rPr>
          <w:rFonts w:cs="Arial"/>
          <w:szCs w:val="22"/>
        </w:rPr>
      </w:pPr>
    </w:p>
    <w:p w14:paraId="2815B744" w14:textId="1BF8B018" w:rsidR="00A60340" w:rsidRPr="00032CF3" w:rsidRDefault="00A60340" w:rsidP="00F46166">
      <w:pPr>
        <w:spacing w:before="0" w:after="0" w:line="276" w:lineRule="auto"/>
        <w:jc w:val="both"/>
        <w:rPr>
          <w:rFonts w:cs="Arial"/>
          <w:szCs w:val="22"/>
        </w:rPr>
      </w:pPr>
      <w:r w:rsidRPr="00032CF3">
        <w:rPr>
          <w:rFonts w:cs="Arial"/>
          <w:szCs w:val="22"/>
        </w:rPr>
        <w:t>T</w:t>
      </w:r>
      <w:r w:rsidR="000F7810" w:rsidRPr="00032CF3">
        <w:rPr>
          <w:rFonts w:cs="Arial"/>
          <w:szCs w:val="22"/>
        </w:rPr>
        <w:t>he SUDGT includes a matrices document</w:t>
      </w:r>
      <w:r w:rsidR="00090ACE">
        <w:rPr>
          <w:rFonts w:cs="Arial"/>
          <w:szCs w:val="22"/>
        </w:rPr>
        <w:t>,</w:t>
      </w:r>
      <w:r w:rsidR="000F7810" w:rsidRPr="00032CF3">
        <w:rPr>
          <w:rFonts w:cs="Arial"/>
          <w:szCs w:val="22"/>
        </w:rPr>
        <w:t xml:space="preserve"> which lists the statutory duty/lawful basis for processing </w:t>
      </w:r>
      <w:r w:rsidR="001C4AF3" w:rsidRPr="00032CF3">
        <w:rPr>
          <w:rFonts w:cs="Arial"/>
          <w:szCs w:val="22"/>
        </w:rPr>
        <w:t xml:space="preserve">for </w:t>
      </w:r>
      <w:r w:rsidR="000F7810" w:rsidRPr="00032CF3">
        <w:rPr>
          <w:rFonts w:cs="Arial"/>
          <w:szCs w:val="22"/>
        </w:rPr>
        <w:t>each organisation type, mapped to the type of activities</w:t>
      </w:r>
      <w:r w:rsidR="00090ACE">
        <w:rPr>
          <w:rFonts w:cs="Arial"/>
          <w:szCs w:val="22"/>
        </w:rPr>
        <w:t>,</w:t>
      </w:r>
      <w:r w:rsidR="000F7810" w:rsidRPr="00032CF3">
        <w:rPr>
          <w:rFonts w:cs="Arial"/>
          <w:szCs w:val="22"/>
        </w:rPr>
        <w:t xml:space="preserve"> which need to be undertaken to meet them.  It maps these to the type </w:t>
      </w:r>
      <w:r w:rsidR="00741463" w:rsidRPr="00032CF3">
        <w:rPr>
          <w:rFonts w:cs="Arial"/>
          <w:szCs w:val="22"/>
        </w:rPr>
        <w:t>of data which may be required</w:t>
      </w:r>
      <w:r w:rsidR="000B04D1" w:rsidRPr="00032CF3">
        <w:rPr>
          <w:rFonts w:cs="Arial"/>
          <w:szCs w:val="22"/>
        </w:rPr>
        <w:t xml:space="preserve">.  It also proposes contractual and data processing models to enable delegation of </w:t>
      </w:r>
      <w:r w:rsidR="00533624">
        <w:rPr>
          <w:rFonts w:cs="Arial"/>
          <w:szCs w:val="22"/>
        </w:rPr>
        <w:t xml:space="preserve">the activities required to meet the data controller’s </w:t>
      </w:r>
      <w:r w:rsidR="000B04D1" w:rsidRPr="00032CF3">
        <w:rPr>
          <w:rFonts w:cs="Arial"/>
          <w:szCs w:val="22"/>
        </w:rPr>
        <w:t>secondary pu</w:t>
      </w:r>
      <w:r w:rsidR="00241D06">
        <w:rPr>
          <w:rFonts w:cs="Arial"/>
          <w:szCs w:val="22"/>
        </w:rPr>
        <w:t>rpose</w:t>
      </w:r>
      <w:r w:rsidR="004A6129">
        <w:rPr>
          <w:rFonts w:cs="Arial"/>
          <w:szCs w:val="22"/>
        </w:rPr>
        <w:t>s.</w:t>
      </w:r>
      <w:r w:rsidR="00241D06">
        <w:rPr>
          <w:rFonts w:cs="Arial"/>
          <w:szCs w:val="22"/>
        </w:rPr>
        <w:t xml:space="preserve"> </w:t>
      </w:r>
      <w:r w:rsidR="000F7810" w:rsidRPr="00032CF3">
        <w:rPr>
          <w:rFonts w:cs="Arial"/>
          <w:szCs w:val="22"/>
        </w:rPr>
        <w:t>Use of the SUDGT considers and builds upon the legal and governance considerations required for compliance and assurance with data protectio</w:t>
      </w:r>
      <w:r w:rsidRPr="00032CF3">
        <w:rPr>
          <w:rFonts w:cs="Arial"/>
          <w:szCs w:val="22"/>
        </w:rPr>
        <w:t xml:space="preserve">n and privacy.  </w:t>
      </w:r>
    </w:p>
    <w:p w14:paraId="64246DCA" w14:textId="77777777" w:rsidR="00166177" w:rsidRPr="00032CF3" w:rsidRDefault="00166177" w:rsidP="00764201">
      <w:pPr>
        <w:spacing w:before="0" w:after="0" w:line="276" w:lineRule="auto"/>
        <w:jc w:val="both"/>
        <w:rPr>
          <w:rFonts w:cs="Arial"/>
          <w:szCs w:val="22"/>
        </w:rPr>
      </w:pPr>
    </w:p>
    <w:p w14:paraId="6494D72A" w14:textId="77777777" w:rsidR="004C1ED2" w:rsidRPr="00032CF3" w:rsidRDefault="00A60340" w:rsidP="004C1ED2">
      <w:pPr>
        <w:spacing w:before="0" w:after="0" w:line="276" w:lineRule="auto"/>
        <w:jc w:val="both"/>
        <w:rPr>
          <w:rFonts w:cs="Arial"/>
          <w:szCs w:val="22"/>
        </w:rPr>
      </w:pPr>
      <w:r w:rsidRPr="00032CF3">
        <w:rPr>
          <w:rFonts w:cs="Arial"/>
          <w:szCs w:val="22"/>
        </w:rPr>
        <w:t>The t</w:t>
      </w:r>
      <w:r w:rsidR="007710C0" w:rsidRPr="00032CF3">
        <w:rPr>
          <w:rFonts w:cs="Arial"/>
          <w:szCs w:val="22"/>
        </w:rPr>
        <w:t>ool forms the basis of</w:t>
      </w:r>
      <w:r w:rsidRPr="00032CF3">
        <w:rPr>
          <w:rFonts w:cs="Arial"/>
          <w:szCs w:val="22"/>
        </w:rPr>
        <w:t xml:space="preserve"> </w:t>
      </w:r>
      <w:r w:rsidR="00B54932" w:rsidRPr="00032CF3">
        <w:rPr>
          <w:rFonts w:cs="Arial"/>
          <w:szCs w:val="22"/>
        </w:rPr>
        <w:t xml:space="preserve">journey </w:t>
      </w:r>
      <w:r w:rsidR="007710C0" w:rsidRPr="00032CF3">
        <w:rPr>
          <w:rFonts w:cs="Arial"/>
          <w:szCs w:val="22"/>
        </w:rPr>
        <w:t xml:space="preserve">3 (secondary use purposes) </w:t>
      </w:r>
      <w:r w:rsidRPr="00032CF3">
        <w:rPr>
          <w:rFonts w:cs="Arial"/>
          <w:szCs w:val="22"/>
        </w:rPr>
        <w:t xml:space="preserve">however users may find this </w:t>
      </w:r>
      <w:r w:rsidR="002A777F" w:rsidRPr="00032CF3">
        <w:rPr>
          <w:rFonts w:cs="Arial"/>
          <w:szCs w:val="22"/>
        </w:rPr>
        <w:t xml:space="preserve">a </w:t>
      </w:r>
      <w:r w:rsidRPr="00032CF3">
        <w:rPr>
          <w:rFonts w:cs="Arial"/>
          <w:szCs w:val="22"/>
        </w:rPr>
        <w:t xml:space="preserve">useful </w:t>
      </w:r>
      <w:r w:rsidR="002A777F" w:rsidRPr="00032CF3">
        <w:rPr>
          <w:rFonts w:cs="Arial"/>
          <w:szCs w:val="22"/>
        </w:rPr>
        <w:t xml:space="preserve">tool across </w:t>
      </w:r>
      <w:r w:rsidR="004C1ED2" w:rsidRPr="00032CF3">
        <w:rPr>
          <w:rFonts w:cs="Arial"/>
          <w:szCs w:val="22"/>
        </w:rPr>
        <w:t xml:space="preserve">other </w:t>
      </w:r>
      <w:r w:rsidR="00B54932" w:rsidRPr="00032CF3">
        <w:rPr>
          <w:rFonts w:cs="Arial"/>
          <w:szCs w:val="22"/>
        </w:rPr>
        <w:t>journey</w:t>
      </w:r>
      <w:r w:rsidR="00EF0B0F" w:rsidRPr="00032CF3">
        <w:rPr>
          <w:rFonts w:cs="Arial"/>
          <w:szCs w:val="22"/>
        </w:rPr>
        <w:t>s</w:t>
      </w:r>
      <w:r w:rsidR="004C1ED2" w:rsidRPr="00032CF3">
        <w:rPr>
          <w:rFonts w:cs="Arial"/>
          <w:szCs w:val="22"/>
        </w:rPr>
        <w:t>.</w:t>
      </w:r>
    </w:p>
    <w:p w14:paraId="3D0F5EF8" w14:textId="77777777" w:rsidR="0039221C" w:rsidRPr="00032CF3" w:rsidRDefault="0039221C" w:rsidP="00764201">
      <w:pPr>
        <w:spacing w:before="0" w:after="0" w:line="276" w:lineRule="auto"/>
        <w:jc w:val="both"/>
        <w:rPr>
          <w:rFonts w:cs="Arial"/>
        </w:rPr>
      </w:pPr>
    </w:p>
    <w:p w14:paraId="11BB1B7A" w14:textId="77777777" w:rsidR="000B5F9D" w:rsidRPr="00032CF3" w:rsidRDefault="000B5F9D">
      <w:pPr>
        <w:spacing w:before="0" w:after="160" w:line="259" w:lineRule="auto"/>
        <w:rPr>
          <w:rFonts w:eastAsiaTheme="majorEastAsia" w:cs="Arial"/>
          <w:b/>
          <w:bCs w:val="0"/>
          <w:color w:val="0072C6"/>
          <w:sz w:val="32"/>
          <w:szCs w:val="32"/>
          <w:lang w:eastAsia="en-GB"/>
        </w:rPr>
      </w:pPr>
      <w:r w:rsidRPr="00032CF3">
        <w:rPr>
          <w:rFonts w:cs="Arial"/>
          <w:sz w:val="32"/>
          <w:lang w:eastAsia="en-GB"/>
        </w:rPr>
        <w:br w:type="page"/>
      </w:r>
    </w:p>
    <w:p w14:paraId="5219C075" w14:textId="77777777" w:rsidR="00FF73B7" w:rsidRPr="00032CF3" w:rsidRDefault="00691FCB" w:rsidP="00453B05">
      <w:pPr>
        <w:pStyle w:val="Heading1"/>
        <w:numPr>
          <w:ilvl w:val="0"/>
          <w:numId w:val="0"/>
        </w:numPr>
        <w:rPr>
          <w:rFonts w:cs="Arial"/>
          <w:lang w:eastAsia="en-GB"/>
        </w:rPr>
      </w:pPr>
      <w:bookmarkStart w:id="12" w:name="_Toc10223048"/>
      <w:r w:rsidRPr="00032CF3">
        <w:rPr>
          <w:rFonts w:cs="Arial"/>
          <w:lang w:eastAsia="en-GB"/>
        </w:rPr>
        <w:lastRenderedPageBreak/>
        <w:t>3.</w:t>
      </w:r>
      <w:r w:rsidR="0051622B" w:rsidRPr="00032CF3">
        <w:rPr>
          <w:rFonts w:cs="Arial"/>
          <w:lang w:eastAsia="en-GB"/>
        </w:rPr>
        <w:t xml:space="preserve"> General Principles</w:t>
      </w:r>
      <w:bookmarkEnd w:id="8"/>
      <w:bookmarkEnd w:id="9"/>
      <w:bookmarkEnd w:id="12"/>
    </w:p>
    <w:p w14:paraId="40F917A1" w14:textId="77777777" w:rsidR="001C4AF3" w:rsidRPr="00032CF3" w:rsidRDefault="005A54A8" w:rsidP="00727691">
      <w:pPr>
        <w:spacing w:before="0" w:after="0" w:line="276" w:lineRule="auto"/>
        <w:jc w:val="both"/>
        <w:rPr>
          <w:rFonts w:cs="Arial"/>
          <w:szCs w:val="22"/>
        </w:rPr>
      </w:pPr>
      <w:r w:rsidRPr="00032CF3">
        <w:rPr>
          <w:rFonts w:cs="Arial"/>
          <w:szCs w:val="22"/>
        </w:rPr>
        <w:t>T</w:t>
      </w:r>
      <w:r w:rsidR="00A92561" w:rsidRPr="00032CF3">
        <w:rPr>
          <w:rFonts w:cs="Arial"/>
          <w:szCs w:val="22"/>
        </w:rPr>
        <w:t xml:space="preserve">he following </w:t>
      </w:r>
      <w:r w:rsidR="00FB7E34" w:rsidRPr="00032CF3">
        <w:rPr>
          <w:rFonts w:cs="Arial"/>
          <w:szCs w:val="22"/>
        </w:rPr>
        <w:t xml:space="preserve">principles should be applied by LHCRs to </w:t>
      </w:r>
      <w:r w:rsidR="00A92561" w:rsidRPr="00032CF3">
        <w:rPr>
          <w:rFonts w:cs="Arial"/>
          <w:szCs w:val="22"/>
        </w:rPr>
        <w:t>support improved a</w:t>
      </w:r>
      <w:r w:rsidR="00EB1918" w:rsidRPr="00032CF3">
        <w:rPr>
          <w:rFonts w:cs="Arial"/>
          <w:szCs w:val="22"/>
        </w:rPr>
        <w:t>c</w:t>
      </w:r>
      <w:r w:rsidR="00A92561" w:rsidRPr="00032CF3">
        <w:rPr>
          <w:rFonts w:cs="Arial"/>
          <w:szCs w:val="22"/>
        </w:rPr>
        <w:t xml:space="preserve">cess to data, streamline data sharing pathways and </w:t>
      </w:r>
      <w:r w:rsidR="006B4F61" w:rsidRPr="00032CF3">
        <w:rPr>
          <w:rFonts w:cs="Arial"/>
          <w:szCs w:val="22"/>
        </w:rPr>
        <w:t>meet legal accountability obligations</w:t>
      </w:r>
      <w:r w:rsidR="001C4AF3" w:rsidRPr="00032CF3">
        <w:rPr>
          <w:rFonts w:cs="Arial"/>
          <w:szCs w:val="22"/>
        </w:rPr>
        <w:t>:</w:t>
      </w:r>
    </w:p>
    <w:p w14:paraId="2F0C4E23" w14:textId="77777777" w:rsidR="00BF21ED" w:rsidRPr="00032CF3" w:rsidRDefault="00BF21ED" w:rsidP="00727691">
      <w:pPr>
        <w:spacing w:before="0" w:after="0" w:line="276" w:lineRule="auto"/>
        <w:jc w:val="both"/>
        <w:rPr>
          <w:rFonts w:cs="Arial"/>
          <w:szCs w:val="22"/>
        </w:rPr>
      </w:pPr>
    </w:p>
    <w:p w14:paraId="061E559B" w14:textId="77777777" w:rsidR="00A11620" w:rsidRPr="00032CF3" w:rsidRDefault="00A11620" w:rsidP="00962AE5">
      <w:pPr>
        <w:pStyle w:val="ListParagraph"/>
        <w:numPr>
          <w:ilvl w:val="0"/>
          <w:numId w:val="20"/>
        </w:numPr>
        <w:spacing w:before="0" w:after="0" w:line="276" w:lineRule="auto"/>
        <w:ind w:left="426"/>
        <w:rPr>
          <w:rFonts w:ascii="Arial" w:hAnsi="Arial"/>
          <w:sz w:val="24"/>
        </w:rPr>
      </w:pPr>
      <w:r w:rsidRPr="00032CF3">
        <w:rPr>
          <w:rFonts w:ascii="Arial" w:hAnsi="Arial"/>
          <w:sz w:val="24"/>
        </w:rPr>
        <w:t>Demonstrating compliance with the law by:</w:t>
      </w:r>
    </w:p>
    <w:p w14:paraId="54C6DA53"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 xml:space="preserve">Identifying </w:t>
      </w:r>
      <w:r w:rsidR="0035075F" w:rsidRPr="00032CF3">
        <w:rPr>
          <w:rFonts w:ascii="Arial" w:hAnsi="Arial"/>
          <w:sz w:val="24"/>
        </w:rPr>
        <w:t xml:space="preserve">lawful justifications for </w:t>
      </w:r>
      <w:r w:rsidRPr="00032CF3">
        <w:rPr>
          <w:rFonts w:ascii="Arial" w:hAnsi="Arial"/>
          <w:sz w:val="24"/>
        </w:rPr>
        <w:t>processing information</w:t>
      </w:r>
    </w:p>
    <w:p w14:paraId="6BB272C6"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Ensuring transparency about purpose and process</w:t>
      </w:r>
    </w:p>
    <w:p w14:paraId="37EA00DA"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Minimising the use of identifiable data</w:t>
      </w:r>
    </w:p>
    <w:p w14:paraId="272F8CD4"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Ensuring the use of data protection by design and default</w:t>
      </w:r>
    </w:p>
    <w:p w14:paraId="663A6E7D"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 xml:space="preserve">Promoting the application of appropriate technical and organisation measures </w:t>
      </w:r>
    </w:p>
    <w:p w14:paraId="6AADAA91" w14:textId="77777777" w:rsidR="00A11620" w:rsidRPr="00032CF3" w:rsidRDefault="00A11620" w:rsidP="00A11620">
      <w:pPr>
        <w:pStyle w:val="ListParagraph"/>
        <w:numPr>
          <w:ilvl w:val="0"/>
          <w:numId w:val="13"/>
        </w:numPr>
        <w:spacing w:before="0" w:after="0" w:line="276" w:lineRule="auto"/>
        <w:rPr>
          <w:rFonts w:ascii="Arial" w:hAnsi="Arial"/>
          <w:sz w:val="24"/>
        </w:rPr>
      </w:pPr>
      <w:bookmarkStart w:id="13" w:name="_Hlk3884626"/>
      <w:r w:rsidRPr="00032CF3">
        <w:rPr>
          <w:rFonts w:ascii="Arial" w:hAnsi="Arial"/>
          <w:sz w:val="24"/>
        </w:rPr>
        <w:t xml:space="preserve">Adhering to the National Data Guardian’s 10 data security standards </w:t>
      </w:r>
      <w:bookmarkEnd w:id="13"/>
      <w:r w:rsidRPr="00032CF3">
        <w:rPr>
          <w:rStyle w:val="FootnoteReference"/>
          <w:rFonts w:ascii="Arial" w:hAnsi="Arial"/>
          <w:sz w:val="24"/>
        </w:rPr>
        <w:footnoteReference w:id="4"/>
      </w:r>
    </w:p>
    <w:p w14:paraId="237571DE" w14:textId="77777777" w:rsidR="00A11620" w:rsidRPr="00032CF3" w:rsidRDefault="00A11620" w:rsidP="00A11620">
      <w:pPr>
        <w:pStyle w:val="ListParagraph"/>
        <w:numPr>
          <w:ilvl w:val="0"/>
          <w:numId w:val="13"/>
        </w:numPr>
        <w:spacing w:before="0" w:after="0" w:line="276" w:lineRule="auto"/>
        <w:rPr>
          <w:rFonts w:ascii="Arial" w:hAnsi="Arial"/>
          <w:sz w:val="24"/>
        </w:rPr>
      </w:pPr>
      <w:r w:rsidRPr="00032CF3">
        <w:rPr>
          <w:rFonts w:ascii="Arial" w:hAnsi="Arial"/>
          <w:sz w:val="24"/>
        </w:rPr>
        <w:t>Mapping data flows and determining roles and responsibilities</w:t>
      </w:r>
    </w:p>
    <w:p w14:paraId="6B9E086B" w14:textId="77777777" w:rsidR="00A11620" w:rsidRPr="00032CF3" w:rsidRDefault="00A11620" w:rsidP="00A11620">
      <w:pPr>
        <w:pStyle w:val="ListParagraph"/>
        <w:numPr>
          <w:ilvl w:val="0"/>
          <w:numId w:val="13"/>
        </w:numPr>
        <w:spacing w:before="0" w:after="0" w:line="276" w:lineRule="auto"/>
        <w:rPr>
          <w:rFonts w:ascii="Arial" w:hAnsi="Arial"/>
          <w:color w:val="000000" w:themeColor="text1"/>
          <w:sz w:val="24"/>
        </w:rPr>
      </w:pPr>
      <w:r w:rsidRPr="00032CF3">
        <w:rPr>
          <w:rFonts w:ascii="Arial" w:hAnsi="Arial"/>
          <w:color w:val="000000" w:themeColor="text1"/>
          <w:sz w:val="24"/>
        </w:rPr>
        <w:t xml:space="preserve">Introducing standards and controls for </w:t>
      </w:r>
      <w:r w:rsidR="003836BE" w:rsidRPr="00032CF3">
        <w:rPr>
          <w:rFonts w:ascii="Arial" w:hAnsi="Arial"/>
          <w:color w:val="000000" w:themeColor="text1"/>
          <w:sz w:val="24"/>
        </w:rPr>
        <w:t xml:space="preserve">de-identification </w:t>
      </w:r>
      <w:r w:rsidRPr="00032CF3">
        <w:rPr>
          <w:rFonts w:ascii="Arial" w:hAnsi="Arial"/>
          <w:color w:val="000000" w:themeColor="text1"/>
          <w:sz w:val="24"/>
        </w:rPr>
        <w:t xml:space="preserve">and the risk mitigation of re-identification </w:t>
      </w:r>
      <w:r w:rsidR="00380CBF">
        <w:rPr>
          <w:rFonts w:ascii="Arial" w:hAnsi="Arial"/>
          <w:color w:val="000000" w:themeColor="text1"/>
          <w:sz w:val="24"/>
        </w:rPr>
        <w:t>to protect people’s identities</w:t>
      </w:r>
      <w:r w:rsidR="00380CBF" w:rsidRPr="00032CF3">
        <w:rPr>
          <w:rFonts w:ascii="Arial" w:hAnsi="Arial"/>
          <w:color w:val="000000" w:themeColor="text1"/>
          <w:sz w:val="24"/>
        </w:rPr>
        <w:t xml:space="preserve"> </w:t>
      </w:r>
      <w:r w:rsidRPr="00032CF3">
        <w:rPr>
          <w:rFonts w:ascii="Arial" w:hAnsi="Arial"/>
          <w:color w:val="000000" w:themeColor="text1"/>
          <w:sz w:val="24"/>
        </w:rPr>
        <w:t>(see</w:t>
      </w:r>
      <w:r w:rsidR="00B54932" w:rsidRPr="00032CF3">
        <w:rPr>
          <w:rFonts w:ascii="Arial" w:hAnsi="Arial"/>
          <w:color w:val="000000" w:themeColor="text1"/>
          <w:sz w:val="24"/>
        </w:rPr>
        <w:t xml:space="preserve"> journeys</w:t>
      </w:r>
      <w:r w:rsidR="00FB0E7B" w:rsidRPr="00032CF3">
        <w:rPr>
          <w:rFonts w:ascii="Arial" w:hAnsi="Arial"/>
          <w:color w:val="000000" w:themeColor="text1"/>
          <w:sz w:val="24"/>
        </w:rPr>
        <w:t xml:space="preserve"> </w:t>
      </w:r>
      <w:r w:rsidRPr="00032CF3">
        <w:rPr>
          <w:rFonts w:ascii="Arial" w:hAnsi="Arial"/>
          <w:color w:val="000000" w:themeColor="text1"/>
          <w:sz w:val="24"/>
        </w:rPr>
        <w:t>3 &amp; 4)</w:t>
      </w:r>
      <w:r w:rsidR="00380CBF">
        <w:rPr>
          <w:rFonts w:ascii="Arial" w:hAnsi="Arial"/>
          <w:color w:val="000000" w:themeColor="text1"/>
          <w:sz w:val="24"/>
        </w:rPr>
        <w:t xml:space="preserve"> </w:t>
      </w:r>
    </w:p>
    <w:p w14:paraId="28B5E89C" w14:textId="77777777" w:rsidR="00D55962" w:rsidRDefault="00D55962" w:rsidP="00A11620">
      <w:pPr>
        <w:spacing w:before="0" w:after="0" w:line="276" w:lineRule="auto"/>
        <w:ind w:left="426"/>
        <w:rPr>
          <w:rFonts w:cs="Arial"/>
          <w:color w:val="000000" w:themeColor="text1"/>
          <w:szCs w:val="22"/>
        </w:rPr>
      </w:pPr>
    </w:p>
    <w:p w14:paraId="65A96656" w14:textId="77777777" w:rsidR="00A11620" w:rsidRPr="00032CF3" w:rsidRDefault="00A11620" w:rsidP="00A11620">
      <w:pPr>
        <w:spacing w:before="0" w:after="0" w:line="276" w:lineRule="auto"/>
        <w:ind w:left="426"/>
        <w:rPr>
          <w:rFonts w:cs="Arial"/>
          <w:color w:val="000000" w:themeColor="text1"/>
          <w:szCs w:val="22"/>
        </w:rPr>
      </w:pPr>
      <w:r w:rsidRPr="00032CF3">
        <w:rPr>
          <w:rFonts w:cs="Arial"/>
          <w:color w:val="000000" w:themeColor="text1"/>
          <w:szCs w:val="22"/>
        </w:rPr>
        <w:t>All of the above</w:t>
      </w:r>
      <w:r w:rsidR="000B42D3" w:rsidRPr="00032CF3">
        <w:rPr>
          <w:rFonts w:cs="Arial"/>
          <w:color w:val="000000" w:themeColor="text1"/>
          <w:szCs w:val="22"/>
        </w:rPr>
        <w:t xml:space="preserve"> should be</w:t>
      </w:r>
      <w:r w:rsidRPr="00032CF3">
        <w:rPr>
          <w:rFonts w:cs="Arial"/>
          <w:color w:val="000000" w:themeColor="text1"/>
          <w:szCs w:val="22"/>
        </w:rPr>
        <w:t xml:space="preserve"> within a Data Protection Impact Assessment (DPIA).</w:t>
      </w:r>
    </w:p>
    <w:p w14:paraId="2EC7DDE4" w14:textId="77777777" w:rsidR="002A777F" w:rsidRPr="00032CF3" w:rsidRDefault="002A777F" w:rsidP="00C14CFD">
      <w:pPr>
        <w:spacing w:before="0" w:after="0" w:line="276" w:lineRule="auto"/>
        <w:ind w:left="426"/>
        <w:rPr>
          <w:rFonts w:cs="Arial"/>
          <w:color w:val="000000" w:themeColor="text1"/>
          <w:szCs w:val="22"/>
        </w:rPr>
      </w:pPr>
    </w:p>
    <w:p w14:paraId="449835D7" w14:textId="77777777" w:rsidR="00F1761F" w:rsidRPr="00911493" w:rsidRDefault="00C82665" w:rsidP="00962AE5">
      <w:pPr>
        <w:pStyle w:val="ListParagraph"/>
        <w:numPr>
          <w:ilvl w:val="0"/>
          <w:numId w:val="20"/>
        </w:numPr>
        <w:spacing w:before="0" w:after="0" w:line="276" w:lineRule="auto"/>
        <w:ind w:left="426" w:hanging="426"/>
        <w:rPr>
          <w:rFonts w:ascii="Arial" w:hAnsi="Arial"/>
          <w:color w:val="FF0000"/>
          <w:sz w:val="24"/>
        </w:rPr>
      </w:pPr>
      <w:r w:rsidRPr="00032CF3">
        <w:rPr>
          <w:rFonts w:ascii="Arial" w:hAnsi="Arial"/>
          <w:color w:val="000000" w:themeColor="text1"/>
          <w:sz w:val="24"/>
        </w:rPr>
        <w:t xml:space="preserve">This guidance promotes and should reduce </w:t>
      </w:r>
      <w:r w:rsidR="009421E0" w:rsidRPr="00032CF3">
        <w:rPr>
          <w:rFonts w:ascii="Arial" w:hAnsi="Arial"/>
          <w:color w:val="000000" w:themeColor="text1"/>
          <w:sz w:val="24"/>
        </w:rPr>
        <w:t xml:space="preserve">unnecessary burden and bureaucracy by providing </w:t>
      </w:r>
      <w:r w:rsidR="009421E0" w:rsidRPr="00032CF3">
        <w:rPr>
          <w:rFonts w:ascii="Arial" w:hAnsi="Arial"/>
          <w:sz w:val="24"/>
        </w:rPr>
        <w:t xml:space="preserve">appropriate tools, templates and </w:t>
      </w:r>
      <w:r w:rsidR="00F219F3" w:rsidRPr="00032CF3">
        <w:rPr>
          <w:rFonts w:ascii="Arial" w:hAnsi="Arial"/>
          <w:sz w:val="24"/>
        </w:rPr>
        <w:t xml:space="preserve">models.  </w:t>
      </w:r>
    </w:p>
    <w:p w14:paraId="1E5653EC" w14:textId="77777777" w:rsidR="00090ACE" w:rsidRPr="00911493" w:rsidRDefault="00090ACE" w:rsidP="00911493">
      <w:pPr>
        <w:spacing w:before="0" w:after="0" w:line="276" w:lineRule="auto"/>
        <w:rPr>
          <w:color w:val="FF0000"/>
        </w:rPr>
      </w:pPr>
    </w:p>
    <w:p w14:paraId="70DE3DE7" w14:textId="77777777" w:rsidR="00582012" w:rsidRPr="00032CF3" w:rsidRDefault="00582012" w:rsidP="00962AE5">
      <w:pPr>
        <w:pStyle w:val="ListParagraph"/>
        <w:numPr>
          <w:ilvl w:val="0"/>
          <w:numId w:val="20"/>
        </w:numPr>
        <w:spacing w:before="0" w:after="0" w:line="276" w:lineRule="auto"/>
        <w:ind w:left="426" w:hanging="426"/>
        <w:rPr>
          <w:rFonts w:ascii="Arial" w:hAnsi="Arial"/>
          <w:color w:val="FF0000"/>
          <w:sz w:val="24"/>
        </w:rPr>
      </w:pPr>
      <w:r w:rsidRPr="00032CF3">
        <w:rPr>
          <w:rFonts w:ascii="Arial" w:hAnsi="Arial"/>
          <w:sz w:val="24"/>
        </w:rPr>
        <w:t>Supporting best practice and promoting public engagement</w:t>
      </w:r>
    </w:p>
    <w:p w14:paraId="18F9B777" w14:textId="77777777" w:rsidR="0039221C" w:rsidRPr="00032CF3" w:rsidRDefault="0039221C" w:rsidP="0039221C">
      <w:pPr>
        <w:spacing w:before="0" w:after="0" w:line="276" w:lineRule="auto"/>
        <w:rPr>
          <w:rFonts w:cs="Arial"/>
          <w:color w:val="FF0000"/>
          <w:sz w:val="28"/>
        </w:rPr>
      </w:pPr>
    </w:p>
    <w:p w14:paraId="3EFFFD1D" w14:textId="77777777" w:rsidR="000B5F9D" w:rsidRPr="00032CF3" w:rsidRDefault="000B5F9D">
      <w:pPr>
        <w:spacing w:before="0" w:after="160" w:line="259" w:lineRule="auto"/>
        <w:rPr>
          <w:rFonts w:eastAsiaTheme="majorEastAsia" w:cs="Arial"/>
          <w:b/>
          <w:bCs w:val="0"/>
          <w:color w:val="0072C6"/>
          <w:sz w:val="32"/>
          <w:szCs w:val="32"/>
        </w:rPr>
      </w:pPr>
      <w:r w:rsidRPr="00032CF3">
        <w:rPr>
          <w:rFonts w:cs="Arial"/>
          <w:sz w:val="32"/>
        </w:rPr>
        <w:br w:type="page"/>
      </w:r>
    </w:p>
    <w:p w14:paraId="7D9E13CE" w14:textId="77777777" w:rsidR="008511D6" w:rsidRPr="00032CF3" w:rsidRDefault="00267634" w:rsidP="00727691">
      <w:pPr>
        <w:pStyle w:val="Heading1"/>
        <w:numPr>
          <w:ilvl w:val="0"/>
          <w:numId w:val="0"/>
        </w:numPr>
        <w:ind w:left="426" w:hanging="426"/>
        <w:rPr>
          <w:rFonts w:cs="Arial"/>
        </w:rPr>
      </w:pPr>
      <w:bookmarkStart w:id="14" w:name="_Toc10223049"/>
      <w:r w:rsidRPr="00032CF3">
        <w:rPr>
          <w:rFonts w:cs="Arial"/>
        </w:rPr>
        <w:lastRenderedPageBreak/>
        <w:t>4</w:t>
      </w:r>
      <w:r w:rsidR="00BF21ED" w:rsidRPr="00032CF3">
        <w:rPr>
          <w:rFonts w:cs="Arial"/>
        </w:rPr>
        <w:t>. Requirements</w:t>
      </w:r>
      <w:bookmarkEnd w:id="14"/>
    </w:p>
    <w:p w14:paraId="346AB09C" w14:textId="77777777" w:rsidR="00811E71" w:rsidRPr="00032CF3" w:rsidRDefault="00811E71" w:rsidP="00811E71">
      <w:pPr>
        <w:spacing w:before="0" w:after="0" w:line="276" w:lineRule="auto"/>
        <w:rPr>
          <w:rFonts w:cs="Arial"/>
          <w:szCs w:val="22"/>
        </w:rPr>
      </w:pPr>
      <w:r w:rsidRPr="00032CF3">
        <w:rPr>
          <w:rFonts w:cs="Arial"/>
          <w:szCs w:val="22"/>
        </w:rPr>
        <w:t>The following requirements are essential for LHCR</w:t>
      </w:r>
      <w:r w:rsidR="00C82665" w:rsidRPr="00032CF3">
        <w:rPr>
          <w:rFonts w:cs="Arial"/>
          <w:szCs w:val="22"/>
        </w:rPr>
        <w:t xml:space="preserve"> </w:t>
      </w:r>
      <w:r w:rsidR="00D55962">
        <w:rPr>
          <w:rFonts w:cs="Arial"/>
          <w:szCs w:val="22"/>
        </w:rPr>
        <w:t>information governance</w:t>
      </w:r>
      <w:r w:rsidR="00D55962" w:rsidRPr="00032CF3">
        <w:rPr>
          <w:rFonts w:cs="Arial"/>
          <w:szCs w:val="22"/>
        </w:rPr>
        <w:t xml:space="preserve"> </w:t>
      </w:r>
      <w:r w:rsidRPr="00032CF3">
        <w:rPr>
          <w:rFonts w:cs="Arial"/>
          <w:szCs w:val="22"/>
        </w:rPr>
        <w:t>compliance and good practice and need to be considered for all journeys.</w:t>
      </w:r>
    </w:p>
    <w:p w14:paraId="7C06245D" w14:textId="5EC360FF" w:rsidR="00437C60" w:rsidRDefault="00437C60" w:rsidP="00727691">
      <w:pPr>
        <w:spacing w:before="0" w:after="0" w:line="276" w:lineRule="auto"/>
        <w:jc w:val="both"/>
        <w:rPr>
          <w:rFonts w:cs="Arial"/>
          <w:color w:val="000000" w:themeColor="text1"/>
          <w:sz w:val="22"/>
          <w:szCs w:val="22"/>
        </w:rPr>
      </w:pPr>
    </w:p>
    <w:p w14:paraId="086D01B7" w14:textId="77777777" w:rsidR="00CC7EB6" w:rsidRPr="00032CF3" w:rsidRDefault="00CC7EB6" w:rsidP="00727691">
      <w:pPr>
        <w:spacing w:before="0" w:after="0" w:line="276" w:lineRule="auto"/>
        <w:jc w:val="both"/>
        <w:rPr>
          <w:rFonts w:cs="Arial"/>
          <w:color w:val="000000" w:themeColor="text1"/>
          <w:sz w:val="22"/>
          <w:szCs w:val="22"/>
        </w:rPr>
      </w:pPr>
    </w:p>
    <w:p w14:paraId="12ADFFDF" w14:textId="77777777" w:rsidR="00A5153D" w:rsidRDefault="00727691" w:rsidP="00911493">
      <w:pPr>
        <w:pStyle w:val="Heading2"/>
      </w:pPr>
      <w:bookmarkStart w:id="15" w:name="_Toc509468204"/>
      <w:bookmarkStart w:id="16" w:name="_Toc510797704"/>
      <w:bookmarkStart w:id="17" w:name="_Toc10223050"/>
      <w:r w:rsidRPr="00032CF3">
        <w:rPr>
          <w:rFonts w:cs="Arial"/>
        </w:rPr>
        <w:t xml:space="preserve">4.1 </w:t>
      </w:r>
      <w:r w:rsidR="00421DFF" w:rsidRPr="00032CF3">
        <w:rPr>
          <w:rFonts w:cs="Arial"/>
        </w:rPr>
        <w:t xml:space="preserve">The </w:t>
      </w:r>
      <w:r w:rsidR="00947CCD">
        <w:rPr>
          <w:rFonts w:cs="Arial"/>
        </w:rPr>
        <w:t>I</w:t>
      </w:r>
      <w:r w:rsidR="00BA7618">
        <w:rPr>
          <w:rFonts w:cs="Arial"/>
        </w:rPr>
        <w:t xml:space="preserve">mportance </w:t>
      </w:r>
      <w:r w:rsidR="00947CCD">
        <w:rPr>
          <w:rFonts w:cs="Arial"/>
        </w:rPr>
        <w:t>o</w:t>
      </w:r>
      <w:r w:rsidR="00C65E58">
        <w:rPr>
          <w:rFonts w:cs="Arial"/>
        </w:rPr>
        <w:t xml:space="preserve">f </w:t>
      </w:r>
      <w:r w:rsidR="00947CCD">
        <w:rPr>
          <w:rFonts w:cs="Arial"/>
        </w:rPr>
        <w:t>G</w:t>
      </w:r>
      <w:r w:rsidR="00C65E58">
        <w:rPr>
          <w:rFonts w:cs="Arial"/>
        </w:rPr>
        <w:t xml:space="preserve">ood </w:t>
      </w:r>
      <w:r w:rsidR="00947CCD">
        <w:rPr>
          <w:rFonts w:cs="Arial"/>
        </w:rPr>
        <w:t>I</w:t>
      </w:r>
      <w:r w:rsidR="00C65E58">
        <w:rPr>
          <w:rFonts w:cs="Arial"/>
        </w:rPr>
        <w:t xml:space="preserve">nformation </w:t>
      </w:r>
      <w:r w:rsidR="00947CCD">
        <w:rPr>
          <w:rFonts w:cs="Arial"/>
        </w:rPr>
        <w:t>G</w:t>
      </w:r>
      <w:r w:rsidR="00C65E58">
        <w:rPr>
          <w:rFonts w:cs="Arial"/>
        </w:rPr>
        <w:t xml:space="preserve">overnance </w:t>
      </w:r>
      <w:r w:rsidR="00947CCD">
        <w:rPr>
          <w:rFonts w:cs="Arial"/>
        </w:rPr>
        <w:t>P</w:t>
      </w:r>
      <w:r w:rsidR="00C65E58">
        <w:rPr>
          <w:rFonts w:cs="Arial"/>
        </w:rPr>
        <w:t>ractice for LHCRs</w:t>
      </w:r>
      <w:bookmarkEnd w:id="17"/>
    </w:p>
    <w:p w14:paraId="383DB9B2" w14:textId="0358D0F8" w:rsidR="00524AA7" w:rsidRPr="00B73426" w:rsidRDefault="00A5153D" w:rsidP="00B73426">
      <w:pPr>
        <w:spacing w:before="0" w:after="0" w:line="276" w:lineRule="auto"/>
        <w:jc w:val="both"/>
        <w:rPr>
          <w:rFonts w:ascii="Calibri" w:hAnsi="Calibri"/>
          <w:bCs w:val="0"/>
          <w:color w:val="000000" w:themeColor="text1"/>
          <w:szCs w:val="24"/>
        </w:rPr>
      </w:pPr>
      <w:r w:rsidRPr="00B73426">
        <w:rPr>
          <w:rFonts w:cs="Arial"/>
          <w:color w:val="000000" w:themeColor="text1"/>
          <w:szCs w:val="24"/>
        </w:rPr>
        <w:t xml:space="preserve">The General Data Protection Regulation (GDPR) stipulates the requirements for controllers and processors and where there is a requirement to have a Data Protection Officer (DPO) in place. In addition all NHS organisations and local authorities, which provide social services must have a Caldicott </w:t>
      </w:r>
      <w:r w:rsidR="00D55962" w:rsidRPr="00B73426">
        <w:rPr>
          <w:rFonts w:cs="Arial"/>
          <w:color w:val="000000" w:themeColor="text1"/>
          <w:szCs w:val="24"/>
        </w:rPr>
        <w:t xml:space="preserve">Guardian. </w:t>
      </w:r>
      <w:r w:rsidRPr="00B73426">
        <w:rPr>
          <w:rFonts w:cs="Arial"/>
          <w:color w:val="000000" w:themeColor="text1"/>
          <w:szCs w:val="24"/>
        </w:rPr>
        <w:t xml:space="preserve">A Caldicott Guardian is a senior person responsible for protecting the confidentiality of health and care information. </w:t>
      </w:r>
      <w:r w:rsidR="00524AA7" w:rsidRPr="00B73426">
        <w:rPr>
          <w:color w:val="000000" w:themeColor="text1"/>
          <w:szCs w:val="24"/>
        </w:rPr>
        <w:t>They should normally be a senior health professional or be closely supported by such a person.  It is important that health and care professionals are represented in discussions.  This is particularly important in relation to processes, for example to ensure that IG decisions do not have unintended burden consequences or to ensure that a clinical view is factored into processes such as when dealing with Subject Access Requests or considering whether to uphold a patient’s objection</w:t>
      </w:r>
      <w:r w:rsidR="004F09A8" w:rsidRPr="00B73426">
        <w:rPr>
          <w:color w:val="000000" w:themeColor="text1"/>
          <w:szCs w:val="24"/>
        </w:rPr>
        <w:t>/withdrawal of consent</w:t>
      </w:r>
      <w:r w:rsidR="00524AA7" w:rsidRPr="00B73426">
        <w:rPr>
          <w:color w:val="000000" w:themeColor="text1"/>
          <w:szCs w:val="24"/>
        </w:rPr>
        <w:t xml:space="preserve"> to </w:t>
      </w:r>
      <w:r w:rsidR="00AA77B5" w:rsidRPr="00B73426">
        <w:rPr>
          <w:color w:val="000000" w:themeColor="text1"/>
          <w:szCs w:val="24"/>
        </w:rPr>
        <w:t xml:space="preserve">the </w:t>
      </w:r>
      <w:r w:rsidR="00524AA7" w:rsidRPr="00B73426">
        <w:rPr>
          <w:color w:val="000000" w:themeColor="text1"/>
          <w:szCs w:val="24"/>
        </w:rPr>
        <w:t xml:space="preserve">sharing </w:t>
      </w:r>
      <w:r w:rsidR="00AA77B5" w:rsidRPr="00B73426">
        <w:rPr>
          <w:color w:val="000000" w:themeColor="text1"/>
          <w:szCs w:val="24"/>
        </w:rPr>
        <w:t>of their data/</w:t>
      </w:r>
      <w:r w:rsidR="00524AA7" w:rsidRPr="00B73426">
        <w:rPr>
          <w:color w:val="000000" w:themeColor="text1"/>
          <w:szCs w:val="24"/>
        </w:rPr>
        <w:t>information.</w:t>
      </w:r>
    </w:p>
    <w:p w14:paraId="3309B788" w14:textId="77777777" w:rsidR="00A5153D" w:rsidRPr="00B73426" w:rsidRDefault="00A5153D" w:rsidP="00B73426">
      <w:pPr>
        <w:spacing w:before="0" w:after="0" w:line="276" w:lineRule="auto"/>
        <w:jc w:val="both"/>
        <w:rPr>
          <w:rFonts w:cs="Arial"/>
          <w:color w:val="000000" w:themeColor="text1"/>
          <w:szCs w:val="24"/>
        </w:rPr>
      </w:pPr>
    </w:p>
    <w:p w14:paraId="16D2BC64" w14:textId="77777777" w:rsidR="002B40A5" w:rsidRDefault="00D2592A" w:rsidP="00727691">
      <w:pPr>
        <w:spacing w:before="0" w:after="0" w:line="276" w:lineRule="auto"/>
        <w:jc w:val="both"/>
        <w:rPr>
          <w:rFonts w:cs="Arial"/>
          <w:szCs w:val="24"/>
        </w:rPr>
      </w:pPr>
      <w:r w:rsidRPr="00032CF3">
        <w:rPr>
          <w:rFonts w:cs="Arial"/>
          <w:szCs w:val="24"/>
        </w:rPr>
        <w:t xml:space="preserve">Each LHCR will need a consistent approach to </w:t>
      </w:r>
      <w:r w:rsidR="00D55962">
        <w:rPr>
          <w:rFonts w:cs="Arial"/>
          <w:szCs w:val="24"/>
        </w:rPr>
        <w:t>information governance</w:t>
      </w:r>
      <w:r w:rsidR="00D55962" w:rsidRPr="00032CF3">
        <w:rPr>
          <w:rFonts w:cs="Arial"/>
          <w:szCs w:val="24"/>
        </w:rPr>
        <w:t xml:space="preserve"> </w:t>
      </w:r>
      <w:r w:rsidRPr="00032CF3">
        <w:rPr>
          <w:rFonts w:cs="Arial"/>
          <w:szCs w:val="24"/>
        </w:rPr>
        <w:t>polic</w:t>
      </w:r>
      <w:r w:rsidR="00D55962">
        <w:rPr>
          <w:rFonts w:cs="Arial"/>
          <w:szCs w:val="24"/>
        </w:rPr>
        <w:t>ies</w:t>
      </w:r>
      <w:r w:rsidR="003428C6" w:rsidRPr="00032CF3">
        <w:rPr>
          <w:rFonts w:cs="Arial"/>
          <w:szCs w:val="24"/>
        </w:rPr>
        <w:t xml:space="preserve">, processes and systems </w:t>
      </w:r>
      <w:r w:rsidR="00090ACE">
        <w:rPr>
          <w:rFonts w:cs="Arial"/>
          <w:szCs w:val="24"/>
        </w:rPr>
        <w:t xml:space="preserve">to </w:t>
      </w:r>
      <w:r w:rsidR="00B5721A">
        <w:rPr>
          <w:rFonts w:cs="Arial"/>
          <w:szCs w:val="24"/>
        </w:rPr>
        <w:t>ensure good</w:t>
      </w:r>
      <w:r w:rsidR="003428C6" w:rsidRPr="00032CF3">
        <w:rPr>
          <w:rFonts w:cs="Arial"/>
          <w:szCs w:val="24"/>
        </w:rPr>
        <w:t xml:space="preserve"> practice across the LHCR</w:t>
      </w:r>
      <w:r w:rsidR="00A5153D">
        <w:rPr>
          <w:rFonts w:cs="Arial"/>
          <w:szCs w:val="24"/>
        </w:rPr>
        <w:t xml:space="preserve">.  </w:t>
      </w:r>
      <w:r w:rsidR="001C2053" w:rsidRPr="00032CF3">
        <w:rPr>
          <w:rFonts w:cs="Arial"/>
          <w:szCs w:val="24"/>
        </w:rPr>
        <w:t>To achieve this</w:t>
      </w:r>
      <w:r w:rsidR="00B87075" w:rsidRPr="00032CF3">
        <w:rPr>
          <w:rFonts w:cs="Arial"/>
          <w:szCs w:val="24"/>
        </w:rPr>
        <w:t>,</w:t>
      </w:r>
      <w:r w:rsidR="001C2053" w:rsidRPr="00032CF3">
        <w:rPr>
          <w:rFonts w:cs="Arial"/>
          <w:szCs w:val="24"/>
        </w:rPr>
        <w:t xml:space="preserve"> one individual will need to </w:t>
      </w:r>
      <w:r w:rsidR="0098103F" w:rsidRPr="00032CF3">
        <w:rPr>
          <w:rFonts w:cs="Arial"/>
          <w:szCs w:val="24"/>
        </w:rPr>
        <w:t xml:space="preserve">take the </w:t>
      </w:r>
      <w:r w:rsidR="005405F4" w:rsidRPr="00032CF3">
        <w:rPr>
          <w:rFonts w:cs="Arial"/>
          <w:szCs w:val="24"/>
        </w:rPr>
        <w:t>lead</w:t>
      </w:r>
      <w:r w:rsidR="0098103F" w:rsidRPr="00032CF3">
        <w:rPr>
          <w:rFonts w:cs="Arial"/>
          <w:szCs w:val="24"/>
        </w:rPr>
        <w:t xml:space="preserve"> for </w:t>
      </w:r>
      <w:r w:rsidR="00C34345" w:rsidRPr="00032CF3">
        <w:rPr>
          <w:rFonts w:cs="Arial"/>
          <w:szCs w:val="24"/>
        </w:rPr>
        <w:t>a</w:t>
      </w:r>
      <w:r w:rsidR="0098103F" w:rsidRPr="00032CF3">
        <w:rPr>
          <w:rFonts w:cs="Arial"/>
          <w:szCs w:val="24"/>
        </w:rPr>
        <w:t xml:space="preserve"> LHCR</w:t>
      </w:r>
      <w:r w:rsidR="00C34345" w:rsidRPr="00032CF3">
        <w:rPr>
          <w:rFonts w:cs="Arial"/>
          <w:szCs w:val="24"/>
        </w:rPr>
        <w:t>’s</w:t>
      </w:r>
      <w:r w:rsidR="0098103F" w:rsidRPr="00032CF3">
        <w:rPr>
          <w:rFonts w:cs="Arial"/>
          <w:szCs w:val="24"/>
        </w:rPr>
        <w:t xml:space="preserve"> </w:t>
      </w:r>
      <w:r w:rsidR="00D55962">
        <w:rPr>
          <w:rFonts w:cs="Arial"/>
          <w:szCs w:val="24"/>
        </w:rPr>
        <w:t>information governance</w:t>
      </w:r>
      <w:r w:rsidR="00D55962" w:rsidRPr="00032CF3">
        <w:rPr>
          <w:rFonts w:cs="Arial"/>
          <w:szCs w:val="24"/>
        </w:rPr>
        <w:t xml:space="preserve"> </w:t>
      </w:r>
      <w:r w:rsidR="007721B2" w:rsidRPr="00032CF3">
        <w:rPr>
          <w:rFonts w:cs="Arial"/>
          <w:szCs w:val="24"/>
        </w:rPr>
        <w:t>appr</w:t>
      </w:r>
      <w:r w:rsidR="008F6C92" w:rsidRPr="00032CF3">
        <w:rPr>
          <w:rFonts w:cs="Arial"/>
          <w:szCs w:val="24"/>
        </w:rPr>
        <w:t>oach</w:t>
      </w:r>
      <w:r w:rsidR="00641581" w:rsidRPr="00032CF3">
        <w:rPr>
          <w:rFonts w:cs="Arial"/>
          <w:szCs w:val="24"/>
        </w:rPr>
        <w:t xml:space="preserve"> and work with their </w:t>
      </w:r>
      <w:r w:rsidR="00D55962">
        <w:rPr>
          <w:rFonts w:cs="Arial"/>
          <w:szCs w:val="24"/>
        </w:rPr>
        <w:t>information governance</w:t>
      </w:r>
      <w:r w:rsidR="00D55962" w:rsidRPr="00032CF3">
        <w:rPr>
          <w:rFonts w:cs="Arial"/>
          <w:szCs w:val="24"/>
        </w:rPr>
        <w:t xml:space="preserve"> </w:t>
      </w:r>
      <w:r w:rsidR="00641581" w:rsidRPr="00032CF3">
        <w:rPr>
          <w:rFonts w:cs="Arial"/>
          <w:szCs w:val="24"/>
        </w:rPr>
        <w:t xml:space="preserve">colleagues </w:t>
      </w:r>
      <w:r w:rsidR="00DF0580" w:rsidRPr="00032CF3">
        <w:rPr>
          <w:rFonts w:cs="Arial"/>
          <w:szCs w:val="24"/>
        </w:rPr>
        <w:t>within the LHCR’s constituent organisations</w:t>
      </w:r>
      <w:r w:rsidR="009D4CE8" w:rsidRPr="00032CF3">
        <w:rPr>
          <w:rFonts w:cs="Arial"/>
          <w:szCs w:val="24"/>
        </w:rPr>
        <w:t>.</w:t>
      </w:r>
      <w:r w:rsidR="005405F4" w:rsidRPr="00032CF3">
        <w:rPr>
          <w:rFonts w:cs="Arial"/>
          <w:szCs w:val="24"/>
        </w:rPr>
        <w:t xml:space="preserve"> </w:t>
      </w:r>
      <w:r w:rsidR="009D4CE8" w:rsidRPr="00032CF3">
        <w:rPr>
          <w:rFonts w:cs="Arial"/>
          <w:szCs w:val="24"/>
        </w:rPr>
        <w:t>T</w:t>
      </w:r>
      <w:r w:rsidR="001C2053" w:rsidRPr="00032CF3">
        <w:rPr>
          <w:rFonts w:cs="Arial"/>
          <w:szCs w:val="24"/>
        </w:rPr>
        <w:t xml:space="preserve">he </w:t>
      </w:r>
      <w:r w:rsidR="009476C7" w:rsidRPr="00032CF3">
        <w:rPr>
          <w:rFonts w:cs="Arial"/>
          <w:szCs w:val="24"/>
        </w:rPr>
        <w:t xml:space="preserve">LHCR </w:t>
      </w:r>
      <w:r w:rsidR="00D55962">
        <w:rPr>
          <w:rFonts w:cs="Arial"/>
          <w:szCs w:val="24"/>
        </w:rPr>
        <w:t>A</w:t>
      </w:r>
      <w:r w:rsidR="00016FEB" w:rsidRPr="00032CF3">
        <w:rPr>
          <w:rFonts w:cs="Arial"/>
          <w:szCs w:val="24"/>
        </w:rPr>
        <w:t xml:space="preserve">ccountable </w:t>
      </w:r>
      <w:r w:rsidR="00D55962">
        <w:rPr>
          <w:rFonts w:cs="Arial"/>
          <w:szCs w:val="24"/>
        </w:rPr>
        <w:t>O</w:t>
      </w:r>
      <w:r w:rsidR="00016FEB" w:rsidRPr="00032CF3">
        <w:rPr>
          <w:rFonts w:cs="Arial"/>
          <w:szCs w:val="24"/>
        </w:rPr>
        <w:t>fficers</w:t>
      </w:r>
      <w:r w:rsidR="00F866C1" w:rsidRPr="00032CF3">
        <w:rPr>
          <w:rFonts w:cs="Arial"/>
          <w:szCs w:val="24"/>
        </w:rPr>
        <w:t xml:space="preserve"> should decide which </w:t>
      </w:r>
      <w:r w:rsidR="00D55962">
        <w:rPr>
          <w:rFonts w:cs="Arial"/>
          <w:szCs w:val="24"/>
        </w:rPr>
        <w:t>information governance</w:t>
      </w:r>
      <w:r w:rsidR="00D55962" w:rsidRPr="00032CF3">
        <w:rPr>
          <w:rFonts w:cs="Arial"/>
          <w:szCs w:val="24"/>
        </w:rPr>
        <w:t xml:space="preserve"> </w:t>
      </w:r>
      <w:r w:rsidR="00F866C1" w:rsidRPr="00032CF3">
        <w:rPr>
          <w:rFonts w:cs="Arial"/>
          <w:szCs w:val="24"/>
        </w:rPr>
        <w:t xml:space="preserve">representative takes the role of </w:t>
      </w:r>
      <w:r w:rsidR="00D55962">
        <w:rPr>
          <w:rFonts w:cs="Arial"/>
          <w:szCs w:val="24"/>
        </w:rPr>
        <w:t>Information Governance</w:t>
      </w:r>
      <w:r w:rsidR="00D55962" w:rsidRPr="00032CF3">
        <w:rPr>
          <w:rFonts w:cs="Arial"/>
          <w:szCs w:val="24"/>
        </w:rPr>
        <w:t xml:space="preserve"> </w:t>
      </w:r>
      <w:r w:rsidR="00D55962">
        <w:rPr>
          <w:rFonts w:cs="Arial"/>
          <w:szCs w:val="24"/>
        </w:rPr>
        <w:t>L</w:t>
      </w:r>
      <w:r w:rsidR="00624D12" w:rsidRPr="00032CF3">
        <w:rPr>
          <w:rFonts w:cs="Arial"/>
          <w:szCs w:val="24"/>
        </w:rPr>
        <w:t>ead</w:t>
      </w:r>
      <w:r w:rsidR="0021591C" w:rsidRPr="00032CF3">
        <w:rPr>
          <w:rFonts w:cs="Arial"/>
          <w:szCs w:val="24"/>
        </w:rPr>
        <w:t xml:space="preserve">. </w:t>
      </w:r>
      <w:r w:rsidR="00B87075" w:rsidRPr="00032CF3">
        <w:rPr>
          <w:rFonts w:cs="Arial"/>
          <w:szCs w:val="24"/>
        </w:rPr>
        <w:t xml:space="preserve"> </w:t>
      </w:r>
      <w:r w:rsidR="0021591C" w:rsidRPr="00032CF3">
        <w:rPr>
          <w:rFonts w:cs="Arial"/>
          <w:szCs w:val="24"/>
        </w:rPr>
        <w:t>The</w:t>
      </w:r>
      <w:r w:rsidR="00A71E2D" w:rsidRPr="00032CF3">
        <w:rPr>
          <w:rFonts w:cs="Arial"/>
          <w:szCs w:val="24"/>
        </w:rPr>
        <w:t>y</w:t>
      </w:r>
      <w:r w:rsidR="0021591C" w:rsidRPr="00032CF3">
        <w:rPr>
          <w:rFonts w:cs="Arial"/>
          <w:szCs w:val="24"/>
        </w:rPr>
        <w:t xml:space="preserve"> will nee</w:t>
      </w:r>
      <w:r w:rsidR="00C70652" w:rsidRPr="00032CF3">
        <w:rPr>
          <w:rFonts w:cs="Arial"/>
          <w:szCs w:val="24"/>
        </w:rPr>
        <w:t xml:space="preserve">d to be a subject matter expert and </w:t>
      </w:r>
      <w:r w:rsidR="00CD4859">
        <w:rPr>
          <w:rFonts w:cs="Arial"/>
          <w:szCs w:val="24"/>
        </w:rPr>
        <w:t xml:space="preserve">they </w:t>
      </w:r>
      <w:r w:rsidR="003074B9" w:rsidRPr="00032CF3">
        <w:rPr>
          <w:rFonts w:cs="Arial"/>
          <w:szCs w:val="24"/>
        </w:rPr>
        <w:t xml:space="preserve">are </w:t>
      </w:r>
      <w:r w:rsidR="00C70652" w:rsidRPr="00032CF3">
        <w:rPr>
          <w:rFonts w:cs="Arial"/>
          <w:szCs w:val="24"/>
        </w:rPr>
        <w:t xml:space="preserve">likely to be </w:t>
      </w:r>
      <w:r w:rsidR="00B87075" w:rsidRPr="00032CF3">
        <w:rPr>
          <w:rFonts w:cs="Arial"/>
          <w:szCs w:val="24"/>
        </w:rPr>
        <w:t>a</w:t>
      </w:r>
      <w:r w:rsidR="00C70652" w:rsidRPr="00032CF3">
        <w:rPr>
          <w:rFonts w:cs="Arial"/>
          <w:szCs w:val="24"/>
        </w:rPr>
        <w:t xml:space="preserve"> </w:t>
      </w:r>
      <w:r w:rsidR="0021591C" w:rsidRPr="00032CF3">
        <w:rPr>
          <w:rFonts w:cs="Arial"/>
          <w:szCs w:val="24"/>
        </w:rPr>
        <w:t>Data Protection Officer</w:t>
      </w:r>
      <w:r w:rsidR="00C70652" w:rsidRPr="00032CF3">
        <w:rPr>
          <w:rFonts w:cs="Arial"/>
          <w:szCs w:val="24"/>
        </w:rPr>
        <w:t xml:space="preserve"> (although this </w:t>
      </w:r>
      <w:r w:rsidR="00D70FC1" w:rsidRPr="00032CF3">
        <w:rPr>
          <w:rFonts w:cs="Arial"/>
          <w:szCs w:val="24"/>
        </w:rPr>
        <w:t>will</w:t>
      </w:r>
      <w:r w:rsidR="00C70652" w:rsidRPr="00032CF3">
        <w:rPr>
          <w:rFonts w:cs="Arial"/>
          <w:szCs w:val="24"/>
        </w:rPr>
        <w:t xml:space="preserve"> not necessarily </w:t>
      </w:r>
      <w:r w:rsidR="00D70FC1" w:rsidRPr="00032CF3">
        <w:rPr>
          <w:rFonts w:cs="Arial"/>
          <w:szCs w:val="24"/>
        </w:rPr>
        <w:t xml:space="preserve">be </w:t>
      </w:r>
      <w:r w:rsidR="00C70652" w:rsidRPr="00032CF3">
        <w:rPr>
          <w:rFonts w:cs="Arial"/>
          <w:szCs w:val="24"/>
        </w:rPr>
        <w:t>the case in every</w:t>
      </w:r>
      <w:r w:rsidR="00C05D15" w:rsidRPr="00032CF3">
        <w:rPr>
          <w:rFonts w:cs="Arial"/>
          <w:szCs w:val="24"/>
        </w:rPr>
        <w:t xml:space="preserve"> LCHR</w:t>
      </w:r>
      <w:r w:rsidR="002B40A5">
        <w:rPr>
          <w:rFonts w:cs="Arial"/>
          <w:szCs w:val="24"/>
        </w:rPr>
        <w:t>)</w:t>
      </w:r>
      <w:r w:rsidR="00AD0615" w:rsidRPr="00032CF3">
        <w:rPr>
          <w:rFonts w:cs="Arial"/>
          <w:szCs w:val="24"/>
        </w:rPr>
        <w:t xml:space="preserve">. </w:t>
      </w:r>
    </w:p>
    <w:p w14:paraId="2D9215F5" w14:textId="77777777" w:rsidR="002B40A5" w:rsidRDefault="002B40A5" w:rsidP="00727691">
      <w:pPr>
        <w:spacing w:before="0" w:after="0" w:line="276" w:lineRule="auto"/>
        <w:jc w:val="both"/>
        <w:rPr>
          <w:rFonts w:cs="Arial"/>
          <w:szCs w:val="24"/>
        </w:rPr>
      </w:pPr>
    </w:p>
    <w:p w14:paraId="5861125F" w14:textId="77777777" w:rsidR="00000EAC" w:rsidRPr="00032CF3" w:rsidRDefault="000838B8" w:rsidP="00727691">
      <w:pPr>
        <w:spacing w:before="0" w:after="0" w:line="276" w:lineRule="auto"/>
        <w:jc w:val="both"/>
        <w:rPr>
          <w:rFonts w:cs="Arial"/>
          <w:szCs w:val="24"/>
        </w:rPr>
      </w:pPr>
      <w:r w:rsidRPr="00032CF3">
        <w:rPr>
          <w:rFonts w:cs="Arial"/>
          <w:szCs w:val="24"/>
        </w:rPr>
        <w:t xml:space="preserve">The LHCR </w:t>
      </w:r>
      <w:r w:rsidR="00D55962">
        <w:rPr>
          <w:rFonts w:cs="Arial"/>
          <w:szCs w:val="24"/>
        </w:rPr>
        <w:t>Information Governance</w:t>
      </w:r>
      <w:r w:rsidR="00D55962" w:rsidRPr="00032CF3">
        <w:rPr>
          <w:rFonts w:cs="Arial"/>
          <w:szCs w:val="24"/>
        </w:rPr>
        <w:t xml:space="preserve"> </w:t>
      </w:r>
      <w:r w:rsidRPr="00032CF3">
        <w:rPr>
          <w:rFonts w:cs="Arial"/>
          <w:szCs w:val="24"/>
        </w:rPr>
        <w:t xml:space="preserve">Lead should be a senior post with the power to make sure that </w:t>
      </w:r>
      <w:r w:rsidR="00D55962">
        <w:rPr>
          <w:rFonts w:cs="Arial"/>
          <w:szCs w:val="24"/>
        </w:rPr>
        <w:t>information governance</w:t>
      </w:r>
      <w:r w:rsidR="00D55962" w:rsidRPr="00032CF3">
        <w:rPr>
          <w:rFonts w:cs="Arial"/>
          <w:szCs w:val="24"/>
        </w:rPr>
        <w:t xml:space="preserve"> </w:t>
      </w:r>
      <w:r w:rsidRPr="00032CF3">
        <w:rPr>
          <w:rFonts w:cs="Arial"/>
          <w:szCs w:val="24"/>
        </w:rPr>
        <w:t xml:space="preserve">policies are implemented. </w:t>
      </w:r>
      <w:r w:rsidR="00AD0615" w:rsidRPr="00032CF3">
        <w:rPr>
          <w:rFonts w:cs="Arial"/>
          <w:szCs w:val="24"/>
        </w:rPr>
        <w:t>The</w:t>
      </w:r>
      <w:r w:rsidR="00624D12" w:rsidRPr="00032CF3">
        <w:rPr>
          <w:rFonts w:cs="Arial"/>
          <w:szCs w:val="24"/>
        </w:rPr>
        <w:t xml:space="preserve"> LHCR</w:t>
      </w:r>
      <w:r w:rsidR="00AD0615" w:rsidRPr="00032CF3">
        <w:rPr>
          <w:rFonts w:cs="Arial"/>
          <w:szCs w:val="24"/>
        </w:rPr>
        <w:t xml:space="preserve"> </w:t>
      </w:r>
      <w:r w:rsidR="00D55962">
        <w:rPr>
          <w:rFonts w:cs="Arial"/>
          <w:szCs w:val="24"/>
        </w:rPr>
        <w:t>Information Governance</w:t>
      </w:r>
      <w:r w:rsidR="00D55962" w:rsidRPr="00032CF3">
        <w:rPr>
          <w:rFonts w:cs="Arial"/>
          <w:szCs w:val="24"/>
        </w:rPr>
        <w:t xml:space="preserve"> </w:t>
      </w:r>
      <w:r w:rsidR="00D55962">
        <w:rPr>
          <w:rFonts w:cs="Arial"/>
          <w:szCs w:val="24"/>
        </w:rPr>
        <w:t>L</w:t>
      </w:r>
      <w:r w:rsidR="00AD0615" w:rsidRPr="00032CF3">
        <w:rPr>
          <w:rFonts w:cs="Arial"/>
          <w:szCs w:val="24"/>
        </w:rPr>
        <w:t>ead</w:t>
      </w:r>
      <w:r w:rsidR="00962410" w:rsidRPr="00032CF3">
        <w:rPr>
          <w:rFonts w:cs="Arial"/>
          <w:szCs w:val="24"/>
        </w:rPr>
        <w:t xml:space="preserve">, should implement a communications channel with </w:t>
      </w:r>
      <w:r w:rsidR="00D55962">
        <w:rPr>
          <w:rFonts w:cs="Arial"/>
          <w:szCs w:val="24"/>
        </w:rPr>
        <w:t>information governance</w:t>
      </w:r>
      <w:r w:rsidR="00962410" w:rsidRPr="00032CF3">
        <w:rPr>
          <w:rFonts w:cs="Arial"/>
          <w:szCs w:val="24"/>
        </w:rPr>
        <w:t xml:space="preserve"> representatives in each of the LHCR organisations, </w:t>
      </w:r>
      <w:r w:rsidR="00AD0615" w:rsidRPr="00032CF3">
        <w:rPr>
          <w:rFonts w:cs="Arial"/>
          <w:szCs w:val="24"/>
        </w:rPr>
        <w:t>should represent their colleagues</w:t>
      </w:r>
      <w:r w:rsidR="00A50916" w:rsidRPr="00032CF3">
        <w:rPr>
          <w:rFonts w:cs="Arial"/>
          <w:szCs w:val="24"/>
        </w:rPr>
        <w:t xml:space="preserve">, </w:t>
      </w:r>
      <w:r w:rsidR="00AD0615" w:rsidRPr="00032CF3">
        <w:rPr>
          <w:rFonts w:cs="Arial"/>
          <w:szCs w:val="24"/>
        </w:rPr>
        <w:t xml:space="preserve">provide a conduit for communications </w:t>
      </w:r>
      <w:r w:rsidR="00B87075" w:rsidRPr="00032CF3">
        <w:rPr>
          <w:rFonts w:cs="Arial"/>
          <w:szCs w:val="24"/>
        </w:rPr>
        <w:t>and become part of a LHCR</w:t>
      </w:r>
      <w:r w:rsidR="00A50916" w:rsidRPr="00032CF3">
        <w:rPr>
          <w:rFonts w:cs="Arial"/>
          <w:szCs w:val="24"/>
        </w:rPr>
        <w:t xml:space="preserve"> </w:t>
      </w:r>
      <w:r w:rsidR="00D55962">
        <w:rPr>
          <w:rFonts w:cs="Arial"/>
          <w:szCs w:val="24"/>
        </w:rPr>
        <w:t>information governance</w:t>
      </w:r>
      <w:r w:rsidR="00D55962" w:rsidRPr="00032CF3">
        <w:rPr>
          <w:rFonts w:cs="Arial"/>
          <w:szCs w:val="24"/>
        </w:rPr>
        <w:t xml:space="preserve"> </w:t>
      </w:r>
      <w:r w:rsidR="00A50916" w:rsidRPr="00032CF3">
        <w:rPr>
          <w:rFonts w:cs="Arial"/>
          <w:szCs w:val="24"/>
        </w:rPr>
        <w:t>network</w:t>
      </w:r>
      <w:r w:rsidR="00DD4C60" w:rsidRPr="00032CF3">
        <w:rPr>
          <w:rFonts w:cs="Arial"/>
          <w:szCs w:val="24"/>
        </w:rPr>
        <w:t xml:space="preserve"> who</w:t>
      </w:r>
      <w:r w:rsidR="00A424BD" w:rsidRPr="00032CF3">
        <w:rPr>
          <w:rFonts w:cs="Arial"/>
          <w:szCs w:val="24"/>
        </w:rPr>
        <w:t xml:space="preserve"> meet on a regular basis.  R</w:t>
      </w:r>
      <w:r w:rsidR="00B87075" w:rsidRPr="00032CF3">
        <w:rPr>
          <w:rFonts w:cs="Arial"/>
          <w:szCs w:val="24"/>
        </w:rPr>
        <w:t xml:space="preserve">epresentation </w:t>
      </w:r>
      <w:r w:rsidR="00A424BD" w:rsidRPr="00032CF3">
        <w:rPr>
          <w:rFonts w:cs="Arial"/>
          <w:szCs w:val="24"/>
        </w:rPr>
        <w:t xml:space="preserve">from the network will also be required </w:t>
      </w:r>
      <w:r w:rsidR="00B87075" w:rsidRPr="00032CF3">
        <w:rPr>
          <w:rFonts w:cs="Arial"/>
          <w:szCs w:val="24"/>
        </w:rPr>
        <w:t xml:space="preserve">at </w:t>
      </w:r>
      <w:r w:rsidR="00A424BD" w:rsidRPr="00032CF3">
        <w:rPr>
          <w:rFonts w:cs="Arial"/>
          <w:szCs w:val="24"/>
        </w:rPr>
        <w:t xml:space="preserve">the </w:t>
      </w:r>
      <w:r w:rsidR="00B87075" w:rsidRPr="00032CF3">
        <w:rPr>
          <w:rFonts w:cs="Arial"/>
          <w:szCs w:val="24"/>
        </w:rPr>
        <w:t>national</w:t>
      </w:r>
      <w:r w:rsidR="00BE157D" w:rsidRPr="00032CF3">
        <w:rPr>
          <w:rFonts w:cs="Arial"/>
          <w:szCs w:val="24"/>
        </w:rPr>
        <w:t xml:space="preserve"> </w:t>
      </w:r>
      <w:r w:rsidR="00A424BD" w:rsidRPr="00032CF3">
        <w:rPr>
          <w:rFonts w:cs="Arial"/>
          <w:szCs w:val="24"/>
        </w:rPr>
        <w:t xml:space="preserve">strategic </w:t>
      </w:r>
      <w:r w:rsidR="00D55962">
        <w:rPr>
          <w:rFonts w:cs="Arial"/>
          <w:szCs w:val="24"/>
        </w:rPr>
        <w:t>information governance</w:t>
      </w:r>
      <w:r w:rsidR="00D55962" w:rsidRPr="00032CF3">
        <w:rPr>
          <w:rFonts w:cs="Arial"/>
          <w:szCs w:val="24"/>
        </w:rPr>
        <w:t xml:space="preserve"> </w:t>
      </w:r>
      <w:r w:rsidR="00B87075" w:rsidRPr="00032CF3">
        <w:rPr>
          <w:rFonts w:cs="Arial"/>
          <w:szCs w:val="24"/>
        </w:rPr>
        <w:t>meetings</w:t>
      </w:r>
      <w:r w:rsidR="00A424BD" w:rsidRPr="00032CF3">
        <w:rPr>
          <w:rFonts w:cs="Arial"/>
          <w:szCs w:val="24"/>
        </w:rPr>
        <w:t>.</w:t>
      </w:r>
      <w:r w:rsidR="00991F77" w:rsidRPr="00032CF3">
        <w:rPr>
          <w:rFonts w:cs="Arial"/>
          <w:szCs w:val="24"/>
        </w:rPr>
        <w:t xml:space="preserve"> </w:t>
      </w:r>
      <w:r w:rsidR="00BE43A4" w:rsidRPr="00032CF3">
        <w:rPr>
          <w:rFonts w:cs="Arial"/>
          <w:szCs w:val="24"/>
        </w:rPr>
        <w:t xml:space="preserve"> The </w:t>
      </w:r>
      <w:r w:rsidR="00D55962">
        <w:rPr>
          <w:rFonts w:cs="Arial"/>
          <w:szCs w:val="24"/>
        </w:rPr>
        <w:t xml:space="preserve">Information Governance </w:t>
      </w:r>
      <w:r w:rsidR="00BE43A4" w:rsidRPr="00032CF3">
        <w:rPr>
          <w:rFonts w:cs="Arial"/>
          <w:szCs w:val="24"/>
        </w:rPr>
        <w:t xml:space="preserve">Lead will also be required to work with Caldicott Guardians, as well as local </w:t>
      </w:r>
      <w:r w:rsidR="00D55962">
        <w:rPr>
          <w:rFonts w:cs="Arial"/>
          <w:szCs w:val="24"/>
        </w:rPr>
        <w:t>information governance</w:t>
      </w:r>
      <w:r w:rsidR="00D55962" w:rsidRPr="00032CF3">
        <w:rPr>
          <w:rFonts w:cs="Arial"/>
          <w:szCs w:val="24"/>
        </w:rPr>
        <w:t xml:space="preserve"> </w:t>
      </w:r>
      <w:r w:rsidR="00BE43A4" w:rsidRPr="00032CF3">
        <w:rPr>
          <w:rFonts w:cs="Arial"/>
          <w:szCs w:val="24"/>
        </w:rPr>
        <w:t>staff.</w:t>
      </w:r>
    </w:p>
    <w:p w14:paraId="1F0AB376" w14:textId="77777777" w:rsidR="006B118A" w:rsidRPr="00032CF3" w:rsidRDefault="006B118A" w:rsidP="00727691">
      <w:pPr>
        <w:spacing w:before="0" w:after="0" w:line="276" w:lineRule="auto"/>
        <w:jc w:val="both"/>
        <w:rPr>
          <w:rFonts w:cs="Arial"/>
          <w:szCs w:val="24"/>
        </w:rPr>
      </w:pPr>
    </w:p>
    <w:p w14:paraId="78936D63" w14:textId="77777777" w:rsidR="00000EAC" w:rsidRPr="00032CF3" w:rsidRDefault="00764078" w:rsidP="00727691">
      <w:pPr>
        <w:spacing w:before="0" w:after="0" w:line="276" w:lineRule="auto"/>
        <w:jc w:val="both"/>
        <w:rPr>
          <w:rFonts w:cs="Arial"/>
          <w:szCs w:val="24"/>
        </w:rPr>
      </w:pPr>
      <w:r w:rsidRPr="00032CF3">
        <w:rPr>
          <w:rFonts w:cs="Arial"/>
          <w:szCs w:val="24"/>
        </w:rPr>
        <w:t xml:space="preserve">Organisations </w:t>
      </w:r>
      <w:r w:rsidR="001450B1" w:rsidRPr="00032CF3">
        <w:rPr>
          <w:rFonts w:cs="Arial"/>
          <w:szCs w:val="24"/>
        </w:rPr>
        <w:t>must</w:t>
      </w:r>
      <w:r w:rsidRPr="00032CF3">
        <w:rPr>
          <w:rFonts w:cs="Arial"/>
          <w:szCs w:val="24"/>
        </w:rPr>
        <w:t xml:space="preserve"> ensure </w:t>
      </w:r>
      <w:r w:rsidR="00D55962">
        <w:rPr>
          <w:rFonts w:cs="Arial"/>
          <w:szCs w:val="24"/>
        </w:rPr>
        <w:t>information governance</w:t>
      </w:r>
      <w:r w:rsidR="00D55962" w:rsidRPr="00032CF3">
        <w:rPr>
          <w:rFonts w:cs="Arial"/>
          <w:szCs w:val="24"/>
        </w:rPr>
        <w:t xml:space="preserve"> </w:t>
      </w:r>
      <w:r w:rsidRPr="00032CF3">
        <w:rPr>
          <w:rFonts w:cs="Arial"/>
          <w:szCs w:val="24"/>
        </w:rPr>
        <w:t>resource is planned and budget</w:t>
      </w:r>
      <w:r w:rsidR="001448B3" w:rsidRPr="00032CF3">
        <w:rPr>
          <w:rFonts w:cs="Arial"/>
          <w:szCs w:val="24"/>
        </w:rPr>
        <w:t>ed</w:t>
      </w:r>
      <w:r w:rsidRPr="00032CF3">
        <w:rPr>
          <w:rFonts w:cs="Arial"/>
          <w:szCs w:val="24"/>
        </w:rPr>
        <w:t xml:space="preserve"> for to meet the requirements set out above for an </w:t>
      </w:r>
      <w:r w:rsidR="00D55962">
        <w:rPr>
          <w:rFonts w:cs="Arial"/>
          <w:szCs w:val="24"/>
        </w:rPr>
        <w:t>information governance</w:t>
      </w:r>
      <w:r w:rsidR="00D55962" w:rsidRPr="00032CF3">
        <w:rPr>
          <w:rFonts w:cs="Arial"/>
          <w:szCs w:val="24"/>
        </w:rPr>
        <w:t xml:space="preserve"> </w:t>
      </w:r>
      <w:r w:rsidRPr="00032CF3">
        <w:rPr>
          <w:rFonts w:cs="Arial"/>
          <w:szCs w:val="24"/>
        </w:rPr>
        <w:t xml:space="preserve">function. </w:t>
      </w:r>
      <w:r w:rsidR="00F91811" w:rsidRPr="00032CF3">
        <w:rPr>
          <w:rFonts w:cs="Arial"/>
          <w:szCs w:val="24"/>
        </w:rPr>
        <w:t>It is hoped that s</w:t>
      </w:r>
      <w:r w:rsidR="003A6C62" w:rsidRPr="00032CF3">
        <w:rPr>
          <w:rFonts w:cs="Arial"/>
          <w:szCs w:val="24"/>
        </w:rPr>
        <w:t>ome national support for operational</w:t>
      </w:r>
      <w:r w:rsidR="00B62A8D" w:rsidRPr="00032CF3">
        <w:rPr>
          <w:rFonts w:cs="Arial"/>
          <w:szCs w:val="24"/>
        </w:rPr>
        <w:t xml:space="preserve"> </w:t>
      </w:r>
      <w:r w:rsidR="00A63F37">
        <w:rPr>
          <w:rFonts w:cs="Arial"/>
          <w:szCs w:val="24"/>
        </w:rPr>
        <w:t>i</w:t>
      </w:r>
      <w:r w:rsidR="003A6C62" w:rsidRPr="00032CF3">
        <w:rPr>
          <w:rFonts w:cs="Arial"/>
          <w:szCs w:val="24"/>
        </w:rPr>
        <w:t xml:space="preserve">nformation </w:t>
      </w:r>
      <w:r w:rsidR="00A63F37">
        <w:rPr>
          <w:rFonts w:cs="Arial"/>
          <w:szCs w:val="24"/>
        </w:rPr>
        <w:t>g</w:t>
      </w:r>
      <w:r w:rsidR="003A6C62" w:rsidRPr="00032CF3">
        <w:rPr>
          <w:rFonts w:cs="Arial"/>
          <w:szCs w:val="24"/>
        </w:rPr>
        <w:t>overnance</w:t>
      </w:r>
      <w:r w:rsidR="00B62A8D" w:rsidRPr="00032CF3">
        <w:rPr>
          <w:rFonts w:cs="Arial"/>
          <w:szCs w:val="24"/>
        </w:rPr>
        <w:t xml:space="preserve"> </w:t>
      </w:r>
      <w:r w:rsidR="003A6C62" w:rsidRPr="00032CF3">
        <w:rPr>
          <w:rFonts w:cs="Arial"/>
          <w:szCs w:val="24"/>
        </w:rPr>
        <w:t xml:space="preserve">may be made </w:t>
      </w:r>
      <w:r w:rsidR="00B62A8D" w:rsidRPr="00032CF3">
        <w:rPr>
          <w:rFonts w:cs="Arial"/>
          <w:szCs w:val="24"/>
        </w:rPr>
        <w:t>available through</w:t>
      </w:r>
      <w:r w:rsidR="003A6C62" w:rsidRPr="00032CF3">
        <w:rPr>
          <w:rFonts w:cs="Arial"/>
          <w:szCs w:val="24"/>
        </w:rPr>
        <w:t xml:space="preserve"> local Commis</w:t>
      </w:r>
      <w:r w:rsidR="00000EAC" w:rsidRPr="00032CF3">
        <w:rPr>
          <w:rFonts w:cs="Arial"/>
          <w:szCs w:val="24"/>
        </w:rPr>
        <w:t>sioning Support Units</w:t>
      </w:r>
      <w:r w:rsidR="00822380" w:rsidRPr="00032CF3">
        <w:rPr>
          <w:rFonts w:cs="Arial"/>
          <w:szCs w:val="24"/>
        </w:rPr>
        <w:t xml:space="preserve"> (CSUs)</w:t>
      </w:r>
      <w:r w:rsidR="00000EAC" w:rsidRPr="00032CF3">
        <w:rPr>
          <w:rFonts w:cs="Arial"/>
          <w:szCs w:val="24"/>
        </w:rPr>
        <w:t>.</w:t>
      </w:r>
    </w:p>
    <w:p w14:paraId="4AD85FA8" w14:textId="77777777" w:rsidR="004E5119" w:rsidRPr="00032CF3" w:rsidRDefault="004E5119" w:rsidP="00727691">
      <w:pPr>
        <w:spacing w:before="0" w:after="0" w:line="276" w:lineRule="auto"/>
        <w:jc w:val="both"/>
        <w:rPr>
          <w:rFonts w:cs="Arial"/>
          <w:szCs w:val="24"/>
        </w:rPr>
      </w:pPr>
    </w:p>
    <w:p w14:paraId="69DA9110" w14:textId="77777777" w:rsidR="003A6C62" w:rsidRPr="00032CF3" w:rsidRDefault="008B6903" w:rsidP="00727691">
      <w:pPr>
        <w:spacing w:before="0" w:after="0" w:line="276" w:lineRule="auto"/>
        <w:rPr>
          <w:rFonts w:cs="Arial"/>
          <w:szCs w:val="24"/>
        </w:rPr>
      </w:pPr>
      <w:r w:rsidRPr="00032CF3">
        <w:rPr>
          <w:rFonts w:cs="Arial"/>
          <w:szCs w:val="24"/>
        </w:rPr>
        <w:t xml:space="preserve">For </w:t>
      </w:r>
      <w:r w:rsidR="00816FEF" w:rsidRPr="00032CF3">
        <w:rPr>
          <w:rFonts w:cs="Arial"/>
          <w:szCs w:val="24"/>
        </w:rPr>
        <w:t>t</w:t>
      </w:r>
      <w:r w:rsidR="009C3AE2" w:rsidRPr="00032CF3">
        <w:rPr>
          <w:rFonts w:cs="Arial"/>
          <w:szCs w:val="24"/>
        </w:rPr>
        <w:t>ools</w:t>
      </w:r>
      <w:r w:rsidR="003A6C62" w:rsidRPr="00032CF3">
        <w:rPr>
          <w:rFonts w:cs="Arial"/>
          <w:szCs w:val="24"/>
        </w:rPr>
        <w:t xml:space="preserve"> and templates</w:t>
      </w:r>
      <w:r w:rsidRPr="00032CF3">
        <w:rPr>
          <w:rFonts w:cs="Arial"/>
          <w:szCs w:val="24"/>
        </w:rPr>
        <w:t xml:space="preserve"> to support th</w:t>
      </w:r>
      <w:r w:rsidR="00741463" w:rsidRPr="00032CF3">
        <w:rPr>
          <w:rFonts w:cs="Arial"/>
          <w:szCs w:val="24"/>
        </w:rPr>
        <w:t>is section please see Appendix H</w:t>
      </w:r>
      <w:r w:rsidRPr="00032CF3">
        <w:rPr>
          <w:rFonts w:cs="Arial"/>
          <w:szCs w:val="24"/>
        </w:rPr>
        <w:t xml:space="preserve"> (4.1).</w:t>
      </w:r>
    </w:p>
    <w:p w14:paraId="00FBF546" w14:textId="54738E8E" w:rsidR="001860B2" w:rsidRDefault="001860B2">
      <w:pPr>
        <w:spacing w:before="0" w:after="160" w:line="259" w:lineRule="auto"/>
        <w:rPr>
          <w:rFonts w:cs="Arial"/>
          <w:szCs w:val="24"/>
        </w:rPr>
      </w:pPr>
      <w:r>
        <w:rPr>
          <w:rFonts w:cs="Arial"/>
          <w:szCs w:val="24"/>
        </w:rPr>
        <w:br w:type="page"/>
      </w:r>
    </w:p>
    <w:p w14:paraId="7030ADAF" w14:textId="77777777" w:rsidR="003A6C62" w:rsidRPr="00032CF3" w:rsidRDefault="003A6C62" w:rsidP="00727691">
      <w:pPr>
        <w:spacing w:before="0" w:after="0" w:line="276" w:lineRule="auto"/>
        <w:jc w:val="both"/>
        <w:rPr>
          <w:rFonts w:cs="Arial"/>
          <w:szCs w:val="24"/>
        </w:rPr>
      </w:pPr>
    </w:p>
    <w:tbl>
      <w:tblPr>
        <w:tblStyle w:val="TableElegant"/>
        <w:tblW w:w="0" w:type="auto"/>
        <w:shd w:val="clear" w:color="auto" w:fill="F2F2F2" w:themeFill="background1" w:themeFillShade="F2"/>
        <w:tblLook w:val="04A0" w:firstRow="1" w:lastRow="0" w:firstColumn="1" w:lastColumn="0" w:noHBand="0" w:noVBand="1"/>
      </w:tblPr>
      <w:tblGrid>
        <w:gridCol w:w="9280"/>
      </w:tblGrid>
      <w:tr w:rsidR="003A6C62" w:rsidRPr="008C24A7" w14:paraId="3E661557" w14:textId="77777777" w:rsidTr="003D6276">
        <w:trPr>
          <w:cnfStyle w:val="100000000000" w:firstRow="1" w:lastRow="0" w:firstColumn="0" w:lastColumn="0" w:oddVBand="0" w:evenVBand="0" w:oddHBand="0" w:evenHBand="0" w:firstRowFirstColumn="0" w:firstRowLastColumn="0" w:lastRowFirstColumn="0" w:lastRowLastColumn="0"/>
        </w:trPr>
        <w:tc>
          <w:tcPr>
            <w:tcW w:w="9280" w:type="dxa"/>
            <w:shd w:val="clear" w:color="auto" w:fill="F2F2F2" w:themeFill="background1" w:themeFillShade="F2"/>
          </w:tcPr>
          <w:p w14:paraId="5CFD2577" w14:textId="77777777" w:rsidR="003A6C62" w:rsidRPr="008C24A7" w:rsidRDefault="003A6C62" w:rsidP="00727691">
            <w:pPr>
              <w:spacing w:before="0" w:after="0" w:line="276" w:lineRule="auto"/>
              <w:rPr>
                <w:rFonts w:cs="Arial"/>
                <w:b/>
                <w:caps w:val="0"/>
                <w:szCs w:val="24"/>
              </w:rPr>
            </w:pPr>
            <w:r w:rsidRPr="008C24A7">
              <w:rPr>
                <w:rFonts w:cs="Arial"/>
                <w:b/>
                <w:caps w:val="0"/>
                <w:szCs w:val="24"/>
              </w:rPr>
              <w:t>Assurance Checkpoint</w:t>
            </w:r>
          </w:p>
          <w:p w14:paraId="7693386B" w14:textId="77777777" w:rsidR="003A6C62" w:rsidRPr="008C24A7" w:rsidRDefault="003A6C62"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Appointment of</w:t>
            </w:r>
            <w:r w:rsidR="00623378" w:rsidRPr="008C24A7">
              <w:rPr>
                <w:rFonts w:ascii="Arial" w:hAnsi="Arial"/>
                <w:caps w:val="0"/>
                <w:sz w:val="24"/>
                <w:szCs w:val="24"/>
              </w:rPr>
              <w:t xml:space="preserve"> a LHCR</w:t>
            </w:r>
            <w:r w:rsidR="00D81F10" w:rsidRPr="008C24A7">
              <w:rPr>
                <w:rFonts w:ascii="Arial" w:hAnsi="Arial"/>
                <w:caps w:val="0"/>
                <w:sz w:val="24"/>
                <w:szCs w:val="24"/>
              </w:rPr>
              <w:t xml:space="preserve"> </w:t>
            </w:r>
            <w:r w:rsidR="00AC00B8" w:rsidRPr="008C24A7">
              <w:rPr>
                <w:rFonts w:ascii="Arial" w:hAnsi="Arial"/>
                <w:caps w:val="0"/>
                <w:sz w:val="24"/>
                <w:szCs w:val="24"/>
              </w:rPr>
              <w:t>In</w:t>
            </w:r>
            <w:r w:rsidR="00A240D2" w:rsidRPr="008C24A7">
              <w:rPr>
                <w:rFonts w:ascii="Arial" w:hAnsi="Arial"/>
                <w:caps w:val="0"/>
                <w:sz w:val="24"/>
                <w:szCs w:val="24"/>
              </w:rPr>
              <w:t>for</w:t>
            </w:r>
            <w:r w:rsidR="00AC00B8" w:rsidRPr="008C24A7">
              <w:rPr>
                <w:rFonts w:ascii="Arial" w:hAnsi="Arial"/>
                <w:caps w:val="0"/>
                <w:sz w:val="24"/>
                <w:szCs w:val="24"/>
              </w:rPr>
              <w:t>mation Governance</w:t>
            </w:r>
            <w:r w:rsidR="00A240D2" w:rsidRPr="008C24A7">
              <w:rPr>
                <w:rFonts w:ascii="Arial" w:hAnsi="Arial"/>
                <w:caps w:val="0"/>
                <w:sz w:val="24"/>
                <w:szCs w:val="24"/>
              </w:rPr>
              <w:t xml:space="preserve"> </w:t>
            </w:r>
            <w:r w:rsidRPr="008C24A7">
              <w:rPr>
                <w:rFonts w:ascii="Arial" w:hAnsi="Arial"/>
                <w:caps w:val="0"/>
                <w:sz w:val="24"/>
                <w:szCs w:val="24"/>
              </w:rPr>
              <w:t>Lead</w:t>
            </w:r>
            <w:r w:rsidR="00623378" w:rsidRPr="008C24A7">
              <w:rPr>
                <w:rFonts w:ascii="Arial" w:hAnsi="Arial"/>
                <w:caps w:val="0"/>
                <w:sz w:val="24"/>
                <w:szCs w:val="24"/>
              </w:rPr>
              <w:t xml:space="preserve"> </w:t>
            </w:r>
          </w:p>
          <w:p w14:paraId="08E865A6" w14:textId="77777777" w:rsidR="004151D4" w:rsidRPr="008C24A7" w:rsidRDefault="004151D4"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color w:val="000000" w:themeColor="text1"/>
                <w:sz w:val="24"/>
                <w:szCs w:val="24"/>
              </w:rPr>
            </w:pPr>
            <w:r w:rsidRPr="008C24A7">
              <w:rPr>
                <w:rFonts w:ascii="Arial" w:hAnsi="Arial"/>
                <w:caps w:val="0"/>
                <w:sz w:val="24"/>
                <w:szCs w:val="24"/>
              </w:rPr>
              <w:lastRenderedPageBreak/>
              <w:t xml:space="preserve">LHCR </w:t>
            </w:r>
            <w:r w:rsidR="00AC00B8" w:rsidRPr="008C24A7">
              <w:rPr>
                <w:rFonts w:ascii="Arial" w:hAnsi="Arial"/>
                <w:caps w:val="0"/>
                <w:sz w:val="24"/>
                <w:szCs w:val="24"/>
              </w:rPr>
              <w:t>Information G</w:t>
            </w:r>
            <w:r w:rsidR="00D55962" w:rsidRPr="008C24A7">
              <w:rPr>
                <w:rFonts w:ascii="Arial" w:hAnsi="Arial"/>
                <w:caps w:val="0"/>
                <w:sz w:val="24"/>
                <w:szCs w:val="24"/>
              </w:rPr>
              <w:t xml:space="preserve">overnance </w:t>
            </w:r>
            <w:r w:rsidRPr="008C24A7">
              <w:rPr>
                <w:rFonts w:ascii="Arial" w:hAnsi="Arial"/>
                <w:caps w:val="0"/>
                <w:sz w:val="24"/>
                <w:szCs w:val="24"/>
              </w:rPr>
              <w:t xml:space="preserve">Lead is a member of the LHCR </w:t>
            </w:r>
            <w:r w:rsidR="00AC00B8" w:rsidRPr="008C24A7">
              <w:rPr>
                <w:rFonts w:ascii="Arial" w:hAnsi="Arial"/>
                <w:caps w:val="0"/>
                <w:sz w:val="24"/>
                <w:szCs w:val="24"/>
              </w:rPr>
              <w:t>Information G</w:t>
            </w:r>
            <w:r w:rsidR="00D55962" w:rsidRPr="008C24A7">
              <w:rPr>
                <w:rFonts w:ascii="Arial" w:hAnsi="Arial"/>
                <w:caps w:val="0"/>
                <w:sz w:val="24"/>
                <w:szCs w:val="24"/>
              </w:rPr>
              <w:t xml:space="preserve">overnance </w:t>
            </w:r>
            <w:r w:rsidR="00AC00B8" w:rsidRPr="008C24A7">
              <w:rPr>
                <w:rFonts w:ascii="Arial" w:hAnsi="Arial"/>
                <w:caps w:val="0"/>
                <w:sz w:val="24"/>
                <w:szCs w:val="24"/>
              </w:rPr>
              <w:t>L</w:t>
            </w:r>
            <w:r w:rsidRPr="008C24A7">
              <w:rPr>
                <w:rFonts w:ascii="Arial" w:hAnsi="Arial"/>
                <w:caps w:val="0"/>
                <w:sz w:val="24"/>
                <w:szCs w:val="24"/>
              </w:rPr>
              <w:t xml:space="preserve">eads </w:t>
            </w:r>
            <w:r w:rsidR="00AC00B8" w:rsidRPr="008C24A7">
              <w:rPr>
                <w:rFonts w:ascii="Arial" w:hAnsi="Arial"/>
                <w:caps w:val="0"/>
                <w:sz w:val="24"/>
                <w:szCs w:val="24"/>
              </w:rPr>
              <w:t>n</w:t>
            </w:r>
            <w:r w:rsidRPr="008C24A7">
              <w:rPr>
                <w:rFonts w:ascii="Arial" w:hAnsi="Arial"/>
                <w:caps w:val="0"/>
                <w:sz w:val="24"/>
                <w:szCs w:val="24"/>
              </w:rPr>
              <w:t xml:space="preserve">etwork and attends </w:t>
            </w:r>
            <w:r w:rsidR="00144F45" w:rsidRPr="008C24A7">
              <w:rPr>
                <w:rFonts w:ascii="Arial" w:hAnsi="Arial"/>
                <w:caps w:val="0"/>
                <w:sz w:val="24"/>
                <w:szCs w:val="24"/>
              </w:rPr>
              <w:t xml:space="preserve">national strategic </w:t>
            </w:r>
            <w:r w:rsidR="00A240D2" w:rsidRPr="008C24A7">
              <w:rPr>
                <w:rFonts w:ascii="Arial" w:hAnsi="Arial"/>
                <w:caps w:val="0"/>
                <w:sz w:val="24"/>
                <w:szCs w:val="24"/>
              </w:rPr>
              <w:t>I</w:t>
            </w:r>
            <w:r w:rsidR="00D55962" w:rsidRPr="008C24A7">
              <w:rPr>
                <w:rFonts w:ascii="Arial" w:hAnsi="Arial"/>
                <w:caps w:val="0"/>
                <w:sz w:val="24"/>
                <w:szCs w:val="24"/>
              </w:rPr>
              <w:t>nformation</w:t>
            </w:r>
            <w:r w:rsidR="00A240D2" w:rsidRPr="008C24A7">
              <w:rPr>
                <w:rFonts w:ascii="Arial" w:hAnsi="Arial"/>
                <w:caps w:val="0"/>
                <w:sz w:val="24"/>
                <w:szCs w:val="24"/>
              </w:rPr>
              <w:t xml:space="preserve"> </w:t>
            </w:r>
            <w:r w:rsidR="00D55962" w:rsidRPr="008C24A7">
              <w:rPr>
                <w:rFonts w:ascii="Arial" w:hAnsi="Arial"/>
                <w:caps w:val="0"/>
                <w:sz w:val="24"/>
                <w:szCs w:val="24"/>
              </w:rPr>
              <w:t>governance</w:t>
            </w:r>
            <w:r w:rsidR="00144F45" w:rsidRPr="008C24A7">
              <w:rPr>
                <w:rFonts w:ascii="Arial" w:hAnsi="Arial"/>
                <w:caps w:val="0"/>
                <w:sz w:val="24"/>
                <w:szCs w:val="24"/>
              </w:rPr>
              <w:t xml:space="preserve"> </w:t>
            </w:r>
            <w:r w:rsidRPr="008C24A7">
              <w:rPr>
                <w:rFonts w:ascii="Arial" w:hAnsi="Arial"/>
                <w:caps w:val="0"/>
                <w:sz w:val="24"/>
                <w:szCs w:val="24"/>
              </w:rPr>
              <w:t>meetings</w:t>
            </w:r>
          </w:p>
          <w:p w14:paraId="56903FAF" w14:textId="77777777" w:rsidR="003A6C62" w:rsidRPr="008C24A7" w:rsidRDefault="003A6C62"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color w:val="000000" w:themeColor="text1"/>
                <w:sz w:val="24"/>
                <w:szCs w:val="24"/>
              </w:rPr>
            </w:pPr>
            <w:r w:rsidRPr="008C24A7">
              <w:rPr>
                <w:rFonts w:ascii="Arial" w:hAnsi="Arial"/>
                <w:caps w:val="0"/>
                <w:sz w:val="24"/>
                <w:szCs w:val="24"/>
              </w:rPr>
              <w:t xml:space="preserve">Structure </w:t>
            </w:r>
            <w:r w:rsidRPr="008C24A7">
              <w:rPr>
                <w:rFonts w:ascii="Arial" w:hAnsi="Arial"/>
                <w:caps w:val="0"/>
                <w:color w:val="000000" w:themeColor="text1"/>
                <w:sz w:val="24"/>
                <w:szCs w:val="24"/>
              </w:rPr>
              <w:t>chart fo</w:t>
            </w:r>
            <w:r w:rsidR="00F96E3F" w:rsidRPr="008C24A7">
              <w:rPr>
                <w:rFonts w:ascii="Arial" w:hAnsi="Arial"/>
                <w:caps w:val="0"/>
                <w:color w:val="000000" w:themeColor="text1"/>
                <w:sz w:val="24"/>
                <w:szCs w:val="24"/>
              </w:rPr>
              <w:t xml:space="preserve">r LHCR </w:t>
            </w:r>
            <w:r w:rsidR="00D55962" w:rsidRPr="008C24A7">
              <w:rPr>
                <w:rFonts w:ascii="Arial" w:hAnsi="Arial"/>
                <w:caps w:val="0"/>
                <w:color w:val="000000" w:themeColor="text1"/>
                <w:sz w:val="24"/>
                <w:szCs w:val="24"/>
              </w:rPr>
              <w:t xml:space="preserve">information governance </w:t>
            </w:r>
            <w:r w:rsidR="00EB1918" w:rsidRPr="008C24A7">
              <w:rPr>
                <w:rFonts w:ascii="Arial" w:hAnsi="Arial"/>
                <w:caps w:val="0"/>
                <w:color w:val="000000" w:themeColor="text1"/>
                <w:sz w:val="24"/>
                <w:szCs w:val="24"/>
              </w:rPr>
              <w:t xml:space="preserve">and communication </w:t>
            </w:r>
            <w:r w:rsidRPr="008C24A7">
              <w:rPr>
                <w:rFonts w:ascii="Arial" w:hAnsi="Arial"/>
                <w:caps w:val="0"/>
                <w:color w:val="000000" w:themeColor="text1"/>
                <w:sz w:val="24"/>
                <w:szCs w:val="24"/>
              </w:rPr>
              <w:t>input</w:t>
            </w:r>
          </w:p>
          <w:p w14:paraId="76E8071F" w14:textId="77777777" w:rsidR="00A46D00" w:rsidRPr="008C24A7" w:rsidRDefault="004151D4"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color w:val="000000" w:themeColor="text1"/>
                <w:sz w:val="24"/>
                <w:szCs w:val="24"/>
              </w:rPr>
              <w:t xml:space="preserve">Evidence of </w:t>
            </w:r>
            <w:r w:rsidR="00D55962" w:rsidRPr="008C24A7">
              <w:rPr>
                <w:rFonts w:ascii="Arial" w:hAnsi="Arial"/>
                <w:caps w:val="0"/>
                <w:color w:val="000000" w:themeColor="text1"/>
                <w:sz w:val="24"/>
                <w:szCs w:val="24"/>
              </w:rPr>
              <w:t xml:space="preserve">information governance </w:t>
            </w:r>
            <w:r w:rsidR="00962410" w:rsidRPr="008C24A7">
              <w:rPr>
                <w:rFonts w:ascii="Arial" w:hAnsi="Arial"/>
                <w:caps w:val="0"/>
                <w:color w:val="000000" w:themeColor="text1"/>
                <w:sz w:val="24"/>
                <w:szCs w:val="24"/>
              </w:rPr>
              <w:t>Policies</w:t>
            </w:r>
          </w:p>
        </w:tc>
      </w:tr>
      <w:bookmarkEnd w:id="15"/>
      <w:bookmarkEnd w:id="16"/>
    </w:tbl>
    <w:p w14:paraId="6D4D85CA" w14:textId="7F4B4C9E" w:rsidR="0013369E" w:rsidRDefault="0013369E" w:rsidP="007B17E1">
      <w:pPr>
        <w:spacing w:before="0" w:after="0" w:line="276" w:lineRule="auto"/>
        <w:jc w:val="both"/>
        <w:rPr>
          <w:rFonts w:cs="Arial"/>
          <w:color w:val="FF0000"/>
          <w:szCs w:val="24"/>
        </w:rPr>
      </w:pPr>
    </w:p>
    <w:p w14:paraId="06C7372C" w14:textId="77777777" w:rsidR="00CC7EB6" w:rsidRPr="00032CF3" w:rsidRDefault="00CC7EB6" w:rsidP="007B17E1">
      <w:pPr>
        <w:spacing w:before="0" w:after="0" w:line="276" w:lineRule="auto"/>
        <w:jc w:val="both"/>
        <w:rPr>
          <w:rFonts w:cs="Arial"/>
          <w:color w:val="FF0000"/>
          <w:szCs w:val="24"/>
        </w:rPr>
      </w:pPr>
    </w:p>
    <w:p w14:paraId="521298C2" w14:textId="77777777" w:rsidR="00EB23BF" w:rsidRPr="00032CF3" w:rsidRDefault="00061285" w:rsidP="00761FB3">
      <w:pPr>
        <w:pStyle w:val="Heading2"/>
        <w:rPr>
          <w:rFonts w:cs="Arial"/>
        </w:rPr>
      </w:pPr>
      <w:bookmarkStart w:id="18" w:name="_Toc10223051"/>
      <w:r w:rsidRPr="00032CF3">
        <w:rPr>
          <w:rFonts w:cs="Arial"/>
        </w:rPr>
        <w:t>4</w:t>
      </w:r>
      <w:r w:rsidR="000E0016" w:rsidRPr="00032CF3">
        <w:rPr>
          <w:rFonts w:cs="Arial"/>
        </w:rPr>
        <w:t>.</w:t>
      </w:r>
      <w:r w:rsidR="00727691" w:rsidRPr="00032CF3">
        <w:rPr>
          <w:rFonts w:cs="Arial"/>
        </w:rPr>
        <w:t>2</w:t>
      </w:r>
      <w:r w:rsidR="00E678B3" w:rsidRPr="00032CF3">
        <w:rPr>
          <w:rFonts w:cs="Arial"/>
        </w:rPr>
        <w:t xml:space="preserve"> </w:t>
      </w:r>
      <w:r w:rsidR="00EB23BF" w:rsidRPr="00032CF3">
        <w:rPr>
          <w:rFonts w:cs="Arial"/>
        </w:rPr>
        <w:t xml:space="preserve">Understanding </w:t>
      </w:r>
      <w:r w:rsidR="00234951" w:rsidRPr="00032CF3">
        <w:rPr>
          <w:rFonts w:cs="Arial"/>
        </w:rPr>
        <w:t>Legal</w:t>
      </w:r>
      <w:r w:rsidR="00EB23BF" w:rsidRPr="00032CF3">
        <w:rPr>
          <w:rFonts w:cs="Arial"/>
        </w:rPr>
        <w:t xml:space="preserve"> </w:t>
      </w:r>
      <w:r w:rsidR="00234951" w:rsidRPr="00032CF3">
        <w:rPr>
          <w:rFonts w:cs="Arial"/>
        </w:rPr>
        <w:t>Requirements</w:t>
      </w:r>
      <w:bookmarkEnd w:id="18"/>
    </w:p>
    <w:p w14:paraId="2E7B266A" w14:textId="77777777" w:rsidR="009476C7" w:rsidRPr="00032CF3" w:rsidRDefault="00CD01B0" w:rsidP="002418C5">
      <w:pPr>
        <w:pStyle w:val="CommentText"/>
        <w:rPr>
          <w:rFonts w:ascii="Arial" w:hAnsi="Arial" w:cs="Arial"/>
          <w:sz w:val="24"/>
          <w:szCs w:val="24"/>
        </w:rPr>
      </w:pPr>
      <w:r w:rsidRPr="00032CF3">
        <w:rPr>
          <w:rFonts w:ascii="Arial" w:hAnsi="Arial" w:cs="Arial"/>
          <w:sz w:val="24"/>
          <w:szCs w:val="24"/>
        </w:rPr>
        <w:t>I</w:t>
      </w:r>
      <w:r w:rsidR="00962410" w:rsidRPr="00032CF3">
        <w:rPr>
          <w:rFonts w:ascii="Arial" w:hAnsi="Arial" w:cs="Arial"/>
          <w:sz w:val="24"/>
          <w:szCs w:val="24"/>
        </w:rPr>
        <w:t xml:space="preserve">t is important that each LHCR </w:t>
      </w:r>
      <w:r w:rsidR="00553F01" w:rsidRPr="00032CF3">
        <w:rPr>
          <w:rFonts w:ascii="Arial" w:hAnsi="Arial" w:cs="Arial"/>
          <w:sz w:val="24"/>
          <w:szCs w:val="24"/>
        </w:rPr>
        <w:t xml:space="preserve">identifies </w:t>
      </w:r>
      <w:r w:rsidR="003E2537" w:rsidRPr="00032CF3">
        <w:rPr>
          <w:rFonts w:ascii="Arial" w:hAnsi="Arial" w:cs="Arial"/>
          <w:sz w:val="24"/>
          <w:szCs w:val="24"/>
        </w:rPr>
        <w:t xml:space="preserve">and understands </w:t>
      </w:r>
      <w:r w:rsidRPr="00032CF3">
        <w:rPr>
          <w:rFonts w:ascii="Arial" w:hAnsi="Arial" w:cs="Arial"/>
          <w:sz w:val="24"/>
          <w:szCs w:val="24"/>
        </w:rPr>
        <w:t>its legal basis for processing data</w:t>
      </w:r>
      <w:r w:rsidR="00920AD7" w:rsidRPr="00032CF3">
        <w:rPr>
          <w:rFonts w:ascii="Arial" w:hAnsi="Arial" w:cs="Arial"/>
          <w:sz w:val="24"/>
          <w:szCs w:val="24"/>
        </w:rPr>
        <w:t xml:space="preserve"> for every function carried out by t</w:t>
      </w:r>
      <w:r w:rsidR="003E2537" w:rsidRPr="00032CF3">
        <w:rPr>
          <w:rFonts w:ascii="Arial" w:hAnsi="Arial" w:cs="Arial"/>
          <w:sz w:val="24"/>
          <w:szCs w:val="24"/>
        </w:rPr>
        <w:t>he LHCR</w:t>
      </w:r>
      <w:r w:rsidR="009476C7" w:rsidRPr="00032CF3">
        <w:rPr>
          <w:rFonts w:ascii="Arial" w:hAnsi="Arial" w:cs="Arial"/>
          <w:sz w:val="24"/>
          <w:szCs w:val="24"/>
        </w:rPr>
        <w:t xml:space="preserve">. The legal basis and </w:t>
      </w:r>
      <w:r w:rsidR="00D55962">
        <w:rPr>
          <w:rFonts w:ascii="Arial" w:hAnsi="Arial" w:cs="Arial"/>
          <w:sz w:val="24"/>
          <w:szCs w:val="24"/>
        </w:rPr>
        <w:t>information governance</w:t>
      </w:r>
      <w:r w:rsidR="009476C7" w:rsidRPr="00032CF3">
        <w:rPr>
          <w:rFonts w:ascii="Arial" w:hAnsi="Arial" w:cs="Arial"/>
          <w:sz w:val="24"/>
          <w:szCs w:val="24"/>
        </w:rPr>
        <w:t xml:space="preserve"> rules may change depending on the purpose for which the data is used, therefore when starting a new initiative, the following steps are required:</w:t>
      </w:r>
    </w:p>
    <w:p w14:paraId="457D857A" w14:textId="77777777" w:rsidR="00727691" w:rsidRDefault="00727691" w:rsidP="009476C7">
      <w:pPr>
        <w:spacing w:before="0" w:after="0" w:line="276" w:lineRule="auto"/>
        <w:jc w:val="both"/>
        <w:rPr>
          <w:rFonts w:cs="Arial"/>
          <w:szCs w:val="24"/>
        </w:rPr>
      </w:pPr>
      <w:r w:rsidRPr="00032CF3">
        <w:rPr>
          <w:rFonts w:cs="Arial"/>
          <w:szCs w:val="24"/>
        </w:rPr>
        <w:t>Determine the purpose/s for which the data will be used;</w:t>
      </w:r>
    </w:p>
    <w:p w14:paraId="7B767268" w14:textId="77777777" w:rsidR="00B46CB7" w:rsidRPr="00032CF3" w:rsidRDefault="00B46CB7" w:rsidP="009476C7">
      <w:pPr>
        <w:spacing w:before="0" w:after="0" w:line="276" w:lineRule="auto"/>
        <w:jc w:val="both"/>
        <w:rPr>
          <w:rFonts w:cs="Arial"/>
          <w:szCs w:val="24"/>
        </w:rPr>
      </w:pPr>
    </w:p>
    <w:p w14:paraId="0A0FFEDD" w14:textId="77777777" w:rsidR="00BE43A4" w:rsidRPr="00032CF3" w:rsidRDefault="00BE43A4" w:rsidP="00B914EE">
      <w:pPr>
        <w:pStyle w:val="ListParagraph"/>
        <w:numPr>
          <w:ilvl w:val="0"/>
          <w:numId w:val="46"/>
        </w:numPr>
        <w:spacing w:before="0" w:after="0" w:line="276" w:lineRule="auto"/>
        <w:rPr>
          <w:rFonts w:ascii="Arial" w:hAnsi="Arial"/>
          <w:sz w:val="24"/>
          <w:szCs w:val="24"/>
        </w:rPr>
      </w:pPr>
      <w:r w:rsidRPr="00032CF3">
        <w:rPr>
          <w:rFonts w:ascii="Arial" w:hAnsi="Arial"/>
          <w:sz w:val="24"/>
          <w:szCs w:val="24"/>
        </w:rPr>
        <w:t>Complete a Data Protection Impact Assessment for each purpose. This can help explain the rationale behind the proposed purpose.</w:t>
      </w:r>
    </w:p>
    <w:p w14:paraId="22B11A29" w14:textId="77777777" w:rsidR="00727691" w:rsidRPr="00032CF3" w:rsidRDefault="00727691" w:rsidP="00B914EE">
      <w:pPr>
        <w:pStyle w:val="ListParagraph"/>
        <w:numPr>
          <w:ilvl w:val="0"/>
          <w:numId w:val="46"/>
        </w:numPr>
        <w:spacing w:before="0" w:after="0" w:line="276" w:lineRule="auto"/>
        <w:rPr>
          <w:rFonts w:ascii="Arial" w:hAnsi="Arial"/>
          <w:sz w:val="24"/>
          <w:szCs w:val="24"/>
        </w:rPr>
      </w:pPr>
      <w:r w:rsidRPr="00032CF3">
        <w:rPr>
          <w:rFonts w:ascii="Arial" w:hAnsi="Arial"/>
          <w:sz w:val="24"/>
          <w:szCs w:val="24"/>
        </w:rPr>
        <w:t>Decide wh</w:t>
      </w:r>
      <w:r w:rsidR="006B118A" w:rsidRPr="00032CF3">
        <w:rPr>
          <w:rFonts w:ascii="Arial" w:hAnsi="Arial"/>
          <w:sz w:val="24"/>
          <w:szCs w:val="24"/>
        </w:rPr>
        <w:t>ich data types will be shared</w:t>
      </w:r>
      <w:r w:rsidRPr="00032CF3">
        <w:rPr>
          <w:rFonts w:ascii="Arial" w:hAnsi="Arial"/>
          <w:sz w:val="24"/>
          <w:szCs w:val="24"/>
        </w:rPr>
        <w:t>;</w:t>
      </w:r>
    </w:p>
    <w:p w14:paraId="7F45615F" w14:textId="77777777" w:rsidR="00727691" w:rsidRPr="00032CF3" w:rsidRDefault="00727691" w:rsidP="00B914EE">
      <w:pPr>
        <w:pStyle w:val="ListParagraph"/>
        <w:numPr>
          <w:ilvl w:val="0"/>
          <w:numId w:val="46"/>
        </w:numPr>
        <w:spacing w:before="0" w:after="0" w:line="276" w:lineRule="auto"/>
        <w:rPr>
          <w:rFonts w:ascii="Arial" w:hAnsi="Arial"/>
          <w:sz w:val="24"/>
          <w:szCs w:val="24"/>
        </w:rPr>
      </w:pPr>
      <w:r w:rsidRPr="00032CF3">
        <w:rPr>
          <w:rFonts w:ascii="Arial" w:hAnsi="Arial"/>
          <w:sz w:val="24"/>
          <w:szCs w:val="24"/>
        </w:rPr>
        <w:t xml:space="preserve">Establish whether that sort of </w:t>
      </w:r>
      <w:r w:rsidR="006B118A" w:rsidRPr="00032CF3">
        <w:rPr>
          <w:rFonts w:ascii="Arial" w:hAnsi="Arial"/>
          <w:sz w:val="24"/>
          <w:szCs w:val="24"/>
        </w:rPr>
        <w:t>data</w:t>
      </w:r>
      <w:r w:rsidRPr="00032CF3">
        <w:rPr>
          <w:rFonts w:ascii="Arial" w:hAnsi="Arial"/>
          <w:sz w:val="24"/>
          <w:szCs w:val="24"/>
        </w:rPr>
        <w:t xml:space="preserve"> can legally </w:t>
      </w:r>
      <w:r w:rsidR="003E2537" w:rsidRPr="00032CF3">
        <w:rPr>
          <w:rFonts w:ascii="Arial" w:hAnsi="Arial"/>
          <w:sz w:val="24"/>
          <w:szCs w:val="24"/>
        </w:rPr>
        <w:t xml:space="preserve">be </w:t>
      </w:r>
      <w:r w:rsidRPr="00032CF3">
        <w:rPr>
          <w:rFonts w:ascii="Arial" w:hAnsi="Arial"/>
          <w:sz w:val="24"/>
          <w:szCs w:val="24"/>
        </w:rPr>
        <w:t xml:space="preserve">used for </w:t>
      </w:r>
      <w:r w:rsidR="009476C7" w:rsidRPr="00032CF3">
        <w:rPr>
          <w:rFonts w:ascii="Arial" w:hAnsi="Arial"/>
          <w:sz w:val="24"/>
          <w:szCs w:val="24"/>
        </w:rPr>
        <w:t xml:space="preserve">those purposes </w:t>
      </w:r>
      <w:r w:rsidRPr="00032CF3">
        <w:rPr>
          <w:rFonts w:ascii="Arial" w:hAnsi="Arial"/>
          <w:sz w:val="24"/>
          <w:szCs w:val="24"/>
        </w:rPr>
        <w:t xml:space="preserve">by the organisation/s who wish to process the data; and </w:t>
      </w:r>
    </w:p>
    <w:p w14:paraId="23B5687C" w14:textId="77777777" w:rsidR="009C3AE2" w:rsidRPr="00032CF3" w:rsidRDefault="009C3AE2" w:rsidP="00B914EE">
      <w:pPr>
        <w:pStyle w:val="ListParagraph"/>
        <w:numPr>
          <w:ilvl w:val="0"/>
          <w:numId w:val="46"/>
        </w:numPr>
        <w:spacing w:before="0" w:after="0" w:line="276" w:lineRule="auto"/>
        <w:rPr>
          <w:rFonts w:ascii="Arial" w:hAnsi="Arial"/>
          <w:sz w:val="24"/>
          <w:szCs w:val="24"/>
        </w:rPr>
      </w:pPr>
      <w:r w:rsidRPr="00032CF3">
        <w:rPr>
          <w:rFonts w:ascii="Arial" w:hAnsi="Arial"/>
          <w:sz w:val="24"/>
          <w:szCs w:val="24"/>
        </w:rPr>
        <w:t>Be clear that the public would reasonably expect that sort of data to be used for that purpose</w:t>
      </w:r>
    </w:p>
    <w:p w14:paraId="017610FA" w14:textId="77777777" w:rsidR="009C3AE2" w:rsidRPr="00032CF3" w:rsidRDefault="009C3AE2" w:rsidP="009C3AE2">
      <w:pPr>
        <w:spacing w:before="0" w:after="0" w:line="276" w:lineRule="auto"/>
        <w:jc w:val="both"/>
        <w:rPr>
          <w:rFonts w:cs="Arial"/>
          <w:szCs w:val="24"/>
        </w:rPr>
      </w:pPr>
    </w:p>
    <w:p w14:paraId="2975F594" w14:textId="77777777" w:rsidR="009476C7" w:rsidRPr="00032CF3" w:rsidRDefault="009476C7" w:rsidP="009476C7">
      <w:pPr>
        <w:spacing w:before="0" w:after="0" w:line="276" w:lineRule="auto"/>
        <w:jc w:val="both"/>
        <w:rPr>
          <w:rFonts w:cs="Arial"/>
          <w:szCs w:val="24"/>
        </w:rPr>
      </w:pPr>
      <w:r w:rsidRPr="00032CF3">
        <w:rPr>
          <w:rFonts w:cs="Arial"/>
          <w:szCs w:val="24"/>
        </w:rPr>
        <w:t>Where there is joint working between organisations such as a LHCR, there is no one legal entity. Hence each organisation has its own legal responsibilities as a controller and will require its own legal basis for the processing.  GDPR Article 26 (Joint Controllers) details how joint controller arrangements must be set out and how these liabilities and responsibilities for compliance are allocated, managed and if necessary indemnified</w:t>
      </w:r>
      <w:r w:rsidR="00106BA7">
        <w:rPr>
          <w:rFonts w:cs="Arial"/>
          <w:szCs w:val="24"/>
        </w:rPr>
        <w:t xml:space="preserve"> for further information on Joint Controllers </w:t>
      </w:r>
      <w:r w:rsidR="00B5721A">
        <w:rPr>
          <w:rFonts w:cs="Arial"/>
          <w:szCs w:val="24"/>
        </w:rPr>
        <w:t xml:space="preserve">see </w:t>
      </w:r>
      <w:r w:rsidR="00106BA7">
        <w:rPr>
          <w:rFonts w:cs="Arial"/>
          <w:szCs w:val="24"/>
        </w:rPr>
        <w:t>4.3.1 and</w:t>
      </w:r>
      <w:r w:rsidRPr="00032CF3">
        <w:rPr>
          <w:rFonts w:cs="Arial"/>
          <w:szCs w:val="24"/>
        </w:rPr>
        <w:t xml:space="preserve"> Appendix J.</w:t>
      </w:r>
    </w:p>
    <w:p w14:paraId="2D5AEF6E" w14:textId="77777777" w:rsidR="003A4D8A" w:rsidRPr="00032CF3" w:rsidRDefault="003A4D8A" w:rsidP="00727691">
      <w:pPr>
        <w:spacing w:before="0" w:after="0" w:line="276" w:lineRule="auto"/>
        <w:jc w:val="both"/>
        <w:rPr>
          <w:rFonts w:cs="Arial"/>
          <w:szCs w:val="24"/>
        </w:rPr>
      </w:pPr>
    </w:p>
    <w:p w14:paraId="14A02AF0" w14:textId="77777777" w:rsidR="00E46641" w:rsidRPr="00032CF3" w:rsidRDefault="003A4D8A" w:rsidP="00E46641">
      <w:pPr>
        <w:spacing w:before="0" w:after="0" w:line="276" w:lineRule="auto"/>
        <w:jc w:val="both"/>
        <w:rPr>
          <w:rFonts w:cs="Arial"/>
          <w:szCs w:val="24"/>
        </w:rPr>
      </w:pPr>
      <w:r w:rsidRPr="00032CF3">
        <w:rPr>
          <w:rFonts w:cs="Arial"/>
          <w:szCs w:val="24"/>
        </w:rPr>
        <w:t xml:space="preserve">There are </w:t>
      </w:r>
      <w:r w:rsidR="00F3210C" w:rsidRPr="00032CF3">
        <w:rPr>
          <w:rFonts w:cs="Arial"/>
          <w:szCs w:val="24"/>
        </w:rPr>
        <w:t>5</w:t>
      </w:r>
      <w:r w:rsidR="002254F7" w:rsidRPr="00032CF3">
        <w:rPr>
          <w:rFonts w:cs="Arial"/>
          <w:szCs w:val="24"/>
        </w:rPr>
        <w:t xml:space="preserve"> consistent</w:t>
      </w:r>
      <w:r w:rsidRPr="00032CF3">
        <w:rPr>
          <w:rFonts w:cs="Arial"/>
          <w:szCs w:val="24"/>
        </w:rPr>
        <w:t xml:space="preserve"> legal parameters</w:t>
      </w:r>
      <w:r w:rsidR="00A3708B">
        <w:rPr>
          <w:rFonts w:cs="Arial"/>
          <w:szCs w:val="24"/>
        </w:rPr>
        <w:t xml:space="preserve"> </w:t>
      </w:r>
      <w:r w:rsidRPr="00032CF3">
        <w:rPr>
          <w:rFonts w:cs="Arial"/>
          <w:szCs w:val="24"/>
        </w:rPr>
        <w:t xml:space="preserve">which must be considered when sharing </w:t>
      </w:r>
      <w:r w:rsidR="00B46CB7">
        <w:rPr>
          <w:rFonts w:cs="Arial"/>
          <w:szCs w:val="24"/>
        </w:rPr>
        <w:t>personal/</w:t>
      </w:r>
      <w:r w:rsidRPr="00032CF3">
        <w:rPr>
          <w:rFonts w:cs="Arial"/>
          <w:szCs w:val="24"/>
        </w:rPr>
        <w:t>confidential patient information</w:t>
      </w:r>
      <w:r w:rsidR="002254F7" w:rsidRPr="00032CF3">
        <w:rPr>
          <w:rFonts w:cs="Arial"/>
          <w:szCs w:val="24"/>
        </w:rPr>
        <w:t xml:space="preserve"> for any purpose</w:t>
      </w:r>
      <w:r w:rsidR="00E46641" w:rsidRPr="00032CF3">
        <w:rPr>
          <w:rFonts w:cs="Arial"/>
          <w:szCs w:val="24"/>
        </w:rPr>
        <w:t>:</w:t>
      </w:r>
    </w:p>
    <w:p w14:paraId="5F9BFE75" w14:textId="77777777" w:rsidR="00E46641" w:rsidRPr="00032CF3" w:rsidRDefault="00E46641" w:rsidP="00962AE5">
      <w:pPr>
        <w:pStyle w:val="ListParagraph"/>
        <w:numPr>
          <w:ilvl w:val="0"/>
          <w:numId w:val="17"/>
        </w:numPr>
        <w:spacing w:before="0" w:after="0" w:line="276" w:lineRule="auto"/>
        <w:rPr>
          <w:rFonts w:ascii="Arial" w:hAnsi="Arial"/>
          <w:color w:val="000000" w:themeColor="text1"/>
          <w:sz w:val="24"/>
          <w:szCs w:val="24"/>
        </w:rPr>
      </w:pPr>
      <w:r w:rsidRPr="00032CF3">
        <w:rPr>
          <w:rFonts w:ascii="Arial" w:hAnsi="Arial"/>
          <w:sz w:val="24"/>
          <w:szCs w:val="24"/>
        </w:rPr>
        <w:t>Statutory Duties and Functions</w:t>
      </w:r>
    </w:p>
    <w:p w14:paraId="7E7DB8B6" w14:textId="77777777" w:rsidR="00E46641" w:rsidRPr="00032CF3" w:rsidRDefault="00E46641" w:rsidP="00962AE5">
      <w:pPr>
        <w:pStyle w:val="ListParagraph"/>
        <w:numPr>
          <w:ilvl w:val="0"/>
          <w:numId w:val="17"/>
        </w:numPr>
        <w:spacing w:before="0" w:after="0" w:line="276" w:lineRule="auto"/>
        <w:rPr>
          <w:rFonts w:ascii="Arial" w:hAnsi="Arial"/>
          <w:sz w:val="24"/>
          <w:szCs w:val="24"/>
        </w:rPr>
      </w:pPr>
      <w:r w:rsidRPr="00032CF3">
        <w:rPr>
          <w:rFonts w:ascii="Arial" w:hAnsi="Arial"/>
          <w:color w:val="000000" w:themeColor="text1"/>
          <w:sz w:val="24"/>
          <w:szCs w:val="24"/>
        </w:rPr>
        <w:t>D</w:t>
      </w:r>
      <w:r w:rsidR="00B46CB7">
        <w:rPr>
          <w:rFonts w:ascii="Arial" w:hAnsi="Arial"/>
          <w:color w:val="000000" w:themeColor="text1"/>
          <w:sz w:val="24"/>
          <w:szCs w:val="24"/>
        </w:rPr>
        <w:t xml:space="preserve">ata </w:t>
      </w:r>
      <w:r w:rsidRPr="00032CF3">
        <w:rPr>
          <w:rFonts w:ascii="Arial" w:hAnsi="Arial"/>
          <w:color w:val="000000" w:themeColor="text1"/>
          <w:sz w:val="24"/>
          <w:szCs w:val="24"/>
        </w:rPr>
        <w:t>P</w:t>
      </w:r>
      <w:r w:rsidR="00B46CB7">
        <w:rPr>
          <w:rFonts w:ascii="Arial" w:hAnsi="Arial"/>
          <w:color w:val="000000" w:themeColor="text1"/>
          <w:sz w:val="24"/>
          <w:szCs w:val="24"/>
        </w:rPr>
        <w:t xml:space="preserve">rotection </w:t>
      </w:r>
      <w:r w:rsidRPr="00032CF3">
        <w:rPr>
          <w:rFonts w:ascii="Arial" w:hAnsi="Arial"/>
          <w:color w:val="000000" w:themeColor="text1"/>
          <w:sz w:val="24"/>
          <w:szCs w:val="24"/>
        </w:rPr>
        <w:t>A</w:t>
      </w:r>
      <w:r w:rsidR="00B46CB7">
        <w:rPr>
          <w:rFonts w:ascii="Arial" w:hAnsi="Arial"/>
          <w:color w:val="000000" w:themeColor="text1"/>
          <w:sz w:val="24"/>
          <w:szCs w:val="24"/>
        </w:rPr>
        <w:t>ct</w:t>
      </w:r>
      <w:r w:rsidRPr="00032CF3">
        <w:rPr>
          <w:rFonts w:ascii="Arial" w:hAnsi="Arial"/>
          <w:color w:val="000000" w:themeColor="text1"/>
          <w:sz w:val="24"/>
          <w:szCs w:val="24"/>
        </w:rPr>
        <w:t xml:space="preserve"> 2018 (GDPR) lawfulness for processing</w:t>
      </w:r>
    </w:p>
    <w:p w14:paraId="38241D59" w14:textId="77777777" w:rsidR="003416FA" w:rsidRPr="00032CF3" w:rsidRDefault="003A4D8A" w:rsidP="00962AE5">
      <w:pPr>
        <w:pStyle w:val="ListParagraph"/>
        <w:numPr>
          <w:ilvl w:val="0"/>
          <w:numId w:val="17"/>
        </w:numPr>
        <w:spacing w:before="0" w:after="0" w:line="276" w:lineRule="auto"/>
        <w:rPr>
          <w:rFonts w:ascii="Arial" w:hAnsi="Arial"/>
          <w:color w:val="000000" w:themeColor="text1"/>
          <w:sz w:val="24"/>
          <w:szCs w:val="24"/>
        </w:rPr>
      </w:pPr>
      <w:r w:rsidRPr="00032CF3">
        <w:rPr>
          <w:rFonts w:ascii="Arial" w:hAnsi="Arial"/>
          <w:color w:val="000000" w:themeColor="text1"/>
          <w:sz w:val="24"/>
          <w:szCs w:val="24"/>
        </w:rPr>
        <w:t xml:space="preserve">Common Law duty of Confidence </w:t>
      </w:r>
    </w:p>
    <w:p w14:paraId="5C86A34A" w14:textId="77777777" w:rsidR="003E5350" w:rsidRPr="00032CF3" w:rsidRDefault="003A4D8A" w:rsidP="00962AE5">
      <w:pPr>
        <w:pStyle w:val="ListParagraph"/>
        <w:numPr>
          <w:ilvl w:val="0"/>
          <w:numId w:val="17"/>
        </w:numPr>
        <w:spacing w:before="0" w:after="0" w:line="276" w:lineRule="auto"/>
        <w:rPr>
          <w:rFonts w:ascii="Arial" w:hAnsi="Arial"/>
          <w:color w:val="000000" w:themeColor="text1"/>
          <w:sz w:val="24"/>
          <w:szCs w:val="24"/>
        </w:rPr>
      </w:pPr>
      <w:r w:rsidRPr="00032CF3">
        <w:rPr>
          <w:rFonts w:ascii="Arial" w:hAnsi="Arial"/>
          <w:color w:val="000000" w:themeColor="text1"/>
          <w:sz w:val="24"/>
          <w:szCs w:val="24"/>
        </w:rPr>
        <w:t xml:space="preserve">Human Rights </w:t>
      </w:r>
      <w:r w:rsidRPr="00032CF3">
        <w:rPr>
          <w:rFonts w:ascii="Arial" w:hAnsi="Arial"/>
          <w:sz w:val="24"/>
          <w:szCs w:val="24"/>
        </w:rPr>
        <w:t xml:space="preserve">Act obligations </w:t>
      </w:r>
    </w:p>
    <w:p w14:paraId="3433446C" w14:textId="77777777" w:rsidR="003E5350" w:rsidRPr="00032CF3" w:rsidRDefault="003E5350" w:rsidP="00962AE5">
      <w:pPr>
        <w:pStyle w:val="ListParagraph"/>
        <w:numPr>
          <w:ilvl w:val="0"/>
          <w:numId w:val="17"/>
        </w:numPr>
        <w:spacing w:before="0" w:after="0" w:line="276" w:lineRule="auto"/>
        <w:rPr>
          <w:rFonts w:ascii="Arial" w:hAnsi="Arial"/>
          <w:color w:val="000000" w:themeColor="text1"/>
          <w:sz w:val="24"/>
          <w:szCs w:val="24"/>
        </w:rPr>
      </w:pPr>
      <w:r w:rsidRPr="00032CF3">
        <w:rPr>
          <w:rFonts w:ascii="Arial" w:hAnsi="Arial"/>
          <w:sz w:val="24"/>
          <w:szCs w:val="24"/>
        </w:rPr>
        <w:t>H</w:t>
      </w:r>
      <w:r w:rsidR="00D96254" w:rsidRPr="00032CF3">
        <w:rPr>
          <w:rFonts w:ascii="Arial" w:hAnsi="Arial"/>
          <w:sz w:val="24"/>
          <w:szCs w:val="24"/>
        </w:rPr>
        <w:t xml:space="preserve">ealth and </w:t>
      </w:r>
      <w:r w:rsidRPr="00032CF3">
        <w:rPr>
          <w:rFonts w:ascii="Arial" w:hAnsi="Arial"/>
          <w:sz w:val="24"/>
          <w:szCs w:val="24"/>
        </w:rPr>
        <w:t>S</w:t>
      </w:r>
      <w:r w:rsidR="00D96254" w:rsidRPr="00032CF3">
        <w:rPr>
          <w:rFonts w:ascii="Arial" w:hAnsi="Arial"/>
          <w:sz w:val="24"/>
          <w:szCs w:val="24"/>
        </w:rPr>
        <w:t>ocial Care Act 2012</w:t>
      </w:r>
    </w:p>
    <w:p w14:paraId="2DD4A459" w14:textId="77777777" w:rsidR="003E5350" w:rsidRPr="00032CF3" w:rsidRDefault="003E5350" w:rsidP="00962AE5">
      <w:pPr>
        <w:pStyle w:val="ListParagraph"/>
        <w:numPr>
          <w:ilvl w:val="0"/>
          <w:numId w:val="17"/>
        </w:numPr>
        <w:spacing w:before="0" w:after="0" w:line="276" w:lineRule="auto"/>
        <w:rPr>
          <w:rFonts w:ascii="Arial" w:hAnsi="Arial"/>
          <w:color w:val="000000" w:themeColor="text1"/>
          <w:sz w:val="24"/>
          <w:szCs w:val="24"/>
        </w:rPr>
      </w:pPr>
      <w:r w:rsidRPr="00032CF3">
        <w:rPr>
          <w:rFonts w:ascii="Arial" w:hAnsi="Arial"/>
          <w:sz w:val="24"/>
          <w:szCs w:val="24"/>
        </w:rPr>
        <w:t>H</w:t>
      </w:r>
      <w:r w:rsidR="00D96254" w:rsidRPr="00032CF3">
        <w:rPr>
          <w:rFonts w:ascii="Arial" w:hAnsi="Arial"/>
          <w:sz w:val="24"/>
          <w:szCs w:val="24"/>
        </w:rPr>
        <w:t xml:space="preserve">ealth and </w:t>
      </w:r>
      <w:r w:rsidRPr="00032CF3">
        <w:rPr>
          <w:rFonts w:ascii="Arial" w:hAnsi="Arial"/>
          <w:sz w:val="24"/>
          <w:szCs w:val="24"/>
        </w:rPr>
        <w:t>S</w:t>
      </w:r>
      <w:r w:rsidR="00D96254" w:rsidRPr="00032CF3">
        <w:rPr>
          <w:rFonts w:ascii="Arial" w:hAnsi="Arial"/>
          <w:sz w:val="24"/>
          <w:szCs w:val="24"/>
        </w:rPr>
        <w:t xml:space="preserve">ocial </w:t>
      </w:r>
      <w:r w:rsidRPr="00032CF3">
        <w:rPr>
          <w:rFonts w:ascii="Arial" w:hAnsi="Arial"/>
          <w:sz w:val="24"/>
          <w:szCs w:val="24"/>
        </w:rPr>
        <w:t>C</w:t>
      </w:r>
      <w:r w:rsidR="00D96254" w:rsidRPr="00032CF3">
        <w:rPr>
          <w:rFonts w:ascii="Arial" w:hAnsi="Arial"/>
          <w:sz w:val="24"/>
          <w:szCs w:val="24"/>
        </w:rPr>
        <w:t xml:space="preserve">are </w:t>
      </w:r>
      <w:r w:rsidRPr="00032CF3">
        <w:rPr>
          <w:rFonts w:ascii="Arial" w:hAnsi="Arial"/>
          <w:sz w:val="24"/>
          <w:szCs w:val="24"/>
        </w:rPr>
        <w:t>(Q</w:t>
      </w:r>
      <w:r w:rsidR="00D96254" w:rsidRPr="00032CF3">
        <w:rPr>
          <w:rFonts w:ascii="Arial" w:hAnsi="Arial"/>
          <w:sz w:val="24"/>
          <w:szCs w:val="24"/>
        </w:rPr>
        <w:t xml:space="preserve">uality </w:t>
      </w:r>
      <w:r w:rsidRPr="00032CF3">
        <w:rPr>
          <w:rFonts w:ascii="Arial" w:hAnsi="Arial"/>
          <w:sz w:val="24"/>
          <w:szCs w:val="24"/>
        </w:rPr>
        <w:t>&amp;</w:t>
      </w:r>
      <w:r w:rsidR="00C5255D" w:rsidRPr="00032CF3">
        <w:rPr>
          <w:rFonts w:ascii="Arial" w:hAnsi="Arial"/>
          <w:sz w:val="24"/>
          <w:szCs w:val="24"/>
        </w:rPr>
        <w:t xml:space="preserve"> </w:t>
      </w:r>
      <w:r w:rsidRPr="00032CF3">
        <w:rPr>
          <w:rFonts w:ascii="Arial" w:hAnsi="Arial"/>
          <w:sz w:val="24"/>
          <w:szCs w:val="24"/>
        </w:rPr>
        <w:t>S</w:t>
      </w:r>
      <w:r w:rsidR="00D96254" w:rsidRPr="00032CF3">
        <w:rPr>
          <w:rFonts w:ascii="Arial" w:hAnsi="Arial"/>
          <w:sz w:val="24"/>
          <w:szCs w:val="24"/>
        </w:rPr>
        <w:t>afety</w:t>
      </w:r>
      <w:r w:rsidRPr="00032CF3">
        <w:rPr>
          <w:rFonts w:ascii="Arial" w:hAnsi="Arial"/>
          <w:sz w:val="24"/>
          <w:szCs w:val="24"/>
        </w:rPr>
        <w:t>)</w:t>
      </w:r>
      <w:r w:rsidR="00D96254" w:rsidRPr="00032CF3">
        <w:rPr>
          <w:rFonts w:ascii="Arial" w:hAnsi="Arial"/>
          <w:sz w:val="24"/>
          <w:szCs w:val="24"/>
        </w:rPr>
        <w:t xml:space="preserve"> </w:t>
      </w:r>
      <w:r w:rsidRPr="00032CF3">
        <w:rPr>
          <w:rFonts w:ascii="Arial" w:hAnsi="Arial"/>
          <w:sz w:val="24"/>
          <w:szCs w:val="24"/>
        </w:rPr>
        <w:t>A</w:t>
      </w:r>
      <w:r w:rsidR="00D96254" w:rsidRPr="00032CF3">
        <w:rPr>
          <w:rFonts w:ascii="Arial" w:hAnsi="Arial"/>
          <w:sz w:val="24"/>
          <w:szCs w:val="24"/>
        </w:rPr>
        <w:t xml:space="preserve">ct </w:t>
      </w:r>
      <w:r w:rsidRPr="00032CF3">
        <w:rPr>
          <w:rFonts w:ascii="Arial" w:hAnsi="Arial"/>
          <w:sz w:val="24"/>
          <w:szCs w:val="24"/>
        </w:rPr>
        <w:t xml:space="preserve">2015 </w:t>
      </w:r>
    </w:p>
    <w:p w14:paraId="51B1BE40" w14:textId="77777777" w:rsidR="00AE0E1C" w:rsidRPr="00032CF3" w:rsidRDefault="00AE0E1C" w:rsidP="00D96254">
      <w:pPr>
        <w:pStyle w:val="ListParagraph"/>
        <w:numPr>
          <w:ilvl w:val="0"/>
          <w:numId w:val="0"/>
        </w:numPr>
        <w:spacing w:before="0" w:after="0" w:line="276" w:lineRule="auto"/>
        <w:ind w:left="720"/>
        <w:rPr>
          <w:rFonts w:ascii="Arial" w:hAnsi="Arial"/>
          <w:color w:val="000000" w:themeColor="text1"/>
          <w:sz w:val="24"/>
          <w:szCs w:val="24"/>
        </w:rPr>
      </w:pPr>
    </w:p>
    <w:p w14:paraId="2ADC87E0" w14:textId="77777777" w:rsidR="0013369E" w:rsidRDefault="00A62553" w:rsidP="00923D29">
      <w:pPr>
        <w:spacing w:before="0" w:after="0" w:line="276" w:lineRule="auto"/>
        <w:jc w:val="both"/>
        <w:rPr>
          <w:rFonts w:cs="Arial"/>
          <w:szCs w:val="24"/>
        </w:rPr>
      </w:pPr>
      <w:r w:rsidRPr="00032CF3">
        <w:rPr>
          <w:rFonts w:cs="Arial"/>
          <w:szCs w:val="24"/>
        </w:rPr>
        <w:t xml:space="preserve">The following </w:t>
      </w:r>
      <w:r w:rsidR="00382F6C" w:rsidRPr="00032CF3">
        <w:rPr>
          <w:rFonts w:cs="Arial"/>
          <w:szCs w:val="24"/>
        </w:rPr>
        <w:t>can help</w:t>
      </w:r>
      <w:r w:rsidR="00B1323A" w:rsidRPr="00032CF3">
        <w:rPr>
          <w:rFonts w:cs="Arial"/>
          <w:szCs w:val="24"/>
        </w:rPr>
        <w:t xml:space="preserve"> assist in deciding whether the processing will be lawful:</w:t>
      </w:r>
    </w:p>
    <w:p w14:paraId="6955620E" w14:textId="77777777" w:rsidR="00241D06" w:rsidRPr="00923D29" w:rsidRDefault="00241D06" w:rsidP="00923D29">
      <w:pPr>
        <w:spacing w:before="0" w:after="0" w:line="276" w:lineRule="auto"/>
        <w:jc w:val="both"/>
        <w:rPr>
          <w:rFonts w:cs="Arial"/>
          <w:szCs w:val="24"/>
        </w:rPr>
      </w:pPr>
    </w:p>
    <w:p w14:paraId="0B9FB072" w14:textId="77777777" w:rsidR="00CD01B0" w:rsidRPr="00032CF3" w:rsidRDefault="00CD01B0" w:rsidP="00B914EE">
      <w:pPr>
        <w:pStyle w:val="Heading3"/>
        <w:numPr>
          <w:ilvl w:val="2"/>
          <w:numId w:val="32"/>
        </w:numPr>
        <w:ind w:left="709" w:hanging="709"/>
        <w:rPr>
          <w:rFonts w:cs="Arial"/>
        </w:rPr>
      </w:pPr>
      <w:bookmarkStart w:id="19" w:name="_Toc10223052"/>
      <w:r w:rsidRPr="00032CF3">
        <w:rPr>
          <w:rFonts w:cs="Arial"/>
        </w:rPr>
        <w:t>Statutory duties and functions</w:t>
      </w:r>
      <w:bookmarkEnd w:id="19"/>
    </w:p>
    <w:p w14:paraId="0840B479" w14:textId="77777777" w:rsidR="006E7372" w:rsidRPr="00032CF3" w:rsidRDefault="0029624F" w:rsidP="002418C5">
      <w:pPr>
        <w:spacing w:before="0" w:after="0" w:line="276" w:lineRule="auto"/>
        <w:jc w:val="both"/>
        <w:rPr>
          <w:rFonts w:cs="Arial"/>
          <w:szCs w:val="24"/>
        </w:rPr>
      </w:pPr>
      <w:r w:rsidRPr="00032CF3">
        <w:rPr>
          <w:rFonts w:cs="Arial"/>
          <w:szCs w:val="24"/>
        </w:rPr>
        <w:t xml:space="preserve">This is often referred to as </w:t>
      </w:r>
      <w:r w:rsidRPr="00032CF3">
        <w:rPr>
          <w:rFonts w:cs="Arial"/>
          <w:i/>
          <w:szCs w:val="24"/>
        </w:rPr>
        <w:t>intra vires</w:t>
      </w:r>
      <w:r w:rsidRPr="00032CF3">
        <w:rPr>
          <w:rFonts w:cs="Arial"/>
          <w:szCs w:val="24"/>
        </w:rPr>
        <w:t xml:space="preserve">. If you are a public body, does the processing you wish to undertake match your statutory functions? In answering this question identify and document the statutory function and the legislation it is derived from (see appendix </w:t>
      </w:r>
      <w:r w:rsidR="00741463" w:rsidRPr="00032CF3">
        <w:rPr>
          <w:rFonts w:cs="Arial"/>
          <w:szCs w:val="24"/>
        </w:rPr>
        <w:t>H</w:t>
      </w:r>
      <w:r w:rsidRPr="00032CF3">
        <w:rPr>
          <w:rFonts w:cs="Arial"/>
          <w:szCs w:val="24"/>
        </w:rPr>
        <w:t xml:space="preserve"> (4.2)</w:t>
      </w:r>
      <w:r w:rsidR="00241D06">
        <w:rPr>
          <w:rFonts w:cs="Arial"/>
          <w:szCs w:val="24"/>
        </w:rPr>
        <w:t>)</w:t>
      </w:r>
      <w:r w:rsidRPr="00032CF3">
        <w:rPr>
          <w:rFonts w:cs="Arial"/>
          <w:szCs w:val="24"/>
        </w:rPr>
        <w:t>.</w:t>
      </w:r>
    </w:p>
    <w:p w14:paraId="35583C22" w14:textId="77777777" w:rsidR="006E7372" w:rsidRPr="00032CF3" w:rsidRDefault="00CC2024" w:rsidP="00675DA5">
      <w:pPr>
        <w:spacing w:before="0" w:after="0" w:line="276" w:lineRule="auto"/>
        <w:jc w:val="both"/>
        <w:rPr>
          <w:rFonts w:cs="Arial"/>
          <w:szCs w:val="24"/>
        </w:rPr>
      </w:pPr>
      <w:r w:rsidRPr="00032CF3">
        <w:rPr>
          <w:rFonts w:cs="Arial"/>
          <w:szCs w:val="24"/>
        </w:rPr>
        <w:t>For example</w:t>
      </w:r>
      <w:r w:rsidR="006E7372" w:rsidRPr="00032CF3">
        <w:rPr>
          <w:rFonts w:cs="Arial"/>
          <w:szCs w:val="24"/>
        </w:rPr>
        <w:t xml:space="preserve">: </w:t>
      </w:r>
    </w:p>
    <w:p w14:paraId="1507A458" w14:textId="77777777" w:rsidR="00675DA5" w:rsidRPr="00032CF3" w:rsidRDefault="00675DA5" w:rsidP="00675DA5">
      <w:pPr>
        <w:spacing w:before="0" w:after="0" w:line="276" w:lineRule="auto"/>
        <w:jc w:val="both"/>
        <w:rPr>
          <w:rFonts w:cs="Arial"/>
          <w:szCs w:val="24"/>
        </w:rPr>
      </w:pPr>
    </w:p>
    <w:p w14:paraId="61387C17" w14:textId="77777777" w:rsidR="005E5BB7" w:rsidRPr="00032CF3" w:rsidRDefault="0029624F" w:rsidP="00B914EE">
      <w:pPr>
        <w:pStyle w:val="ListParagraph"/>
        <w:numPr>
          <w:ilvl w:val="0"/>
          <w:numId w:val="44"/>
        </w:numPr>
        <w:spacing w:before="0" w:after="0" w:line="276" w:lineRule="auto"/>
        <w:rPr>
          <w:rFonts w:ascii="Arial" w:hAnsi="Arial"/>
          <w:sz w:val="24"/>
          <w:szCs w:val="24"/>
        </w:rPr>
      </w:pPr>
      <w:r w:rsidRPr="00032CF3">
        <w:rPr>
          <w:rFonts w:ascii="Arial" w:hAnsi="Arial"/>
          <w:sz w:val="24"/>
          <w:szCs w:val="24"/>
        </w:rPr>
        <w:lastRenderedPageBreak/>
        <w:t>C</w:t>
      </w:r>
      <w:r w:rsidR="00A3708B">
        <w:rPr>
          <w:rFonts w:ascii="Arial" w:hAnsi="Arial"/>
          <w:sz w:val="24"/>
          <w:szCs w:val="24"/>
        </w:rPr>
        <w:t xml:space="preserve">linical </w:t>
      </w:r>
      <w:r w:rsidRPr="00032CF3">
        <w:rPr>
          <w:rFonts w:ascii="Arial" w:hAnsi="Arial"/>
          <w:sz w:val="24"/>
          <w:szCs w:val="24"/>
        </w:rPr>
        <w:t>C</w:t>
      </w:r>
      <w:r w:rsidR="00A3708B">
        <w:rPr>
          <w:rFonts w:ascii="Arial" w:hAnsi="Arial"/>
          <w:sz w:val="24"/>
          <w:szCs w:val="24"/>
        </w:rPr>
        <w:t xml:space="preserve">ommissioning </w:t>
      </w:r>
      <w:r w:rsidRPr="00032CF3">
        <w:rPr>
          <w:rFonts w:ascii="Arial" w:hAnsi="Arial"/>
          <w:sz w:val="24"/>
          <w:szCs w:val="24"/>
        </w:rPr>
        <w:t>G</w:t>
      </w:r>
      <w:r w:rsidR="00A3708B">
        <w:rPr>
          <w:rFonts w:ascii="Arial" w:hAnsi="Arial"/>
          <w:sz w:val="24"/>
          <w:szCs w:val="24"/>
        </w:rPr>
        <w:t>roup</w:t>
      </w:r>
      <w:r w:rsidRPr="00032CF3">
        <w:rPr>
          <w:rFonts w:ascii="Arial" w:hAnsi="Arial"/>
          <w:sz w:val="24"/>
          <w:szCs w:val="24"/>
        </w:rPr>
        <w:t>s</w:t>
      </w:r>
      <w:r w:rsidR="00A3708B">
        <w:rPr>
          <w:rFonts w:ascii="Arial" w:hAnsi="Arial"/>
          <w:sz w:val="24"/>
          <w:szCs w:val="24"/>
        </w:rPr>
        <w:t xml:space="preserve"> (CCGs)</w:t>
      </w:r>
      <w:r w:rsidRPr="00032CF3">
        <w:rPr>
          <w:rFonts w:ascii="Arial" w:hAnsi="Arial"/>
          <w:sz w:val="24"/>
          <w:szCs w:val="24"/>
        </w:rPr>
        <w:t xml:space="preserve"> and NHS England have a duty to commission health services but this does not confer </w:t>
      </w:r>
      <w:r w:rsidR="006F1876" w:rsidRPr="00032CF3">
        <w:rPr>
          <w:rFonts w:ascii="Arial" w:hAnsi="Arial"/>
          <w:sz w:val="24"/>
          <w:szCs w:val="24"/>
        </w:rPr>
        <w:t xml:space="preserve">an automatic power to process </w:t>
      </w:r>
      <w:r w:rsidR="00B46CB7">
        <w:rPr>
          <w:rFonts w:ascii="Arial" w:hAnsi="Arial"/>
          <w:sz w:val="24"/>
          <w:szCs w:val="24"/>
        </w:rPr>
        <w:t>personal/</w:t>
      </w:r>
      <w:r w:rsidR="00A3708B">
        <w:rPr>
          <w:rFonts w:ascii="Arial" w:hAnsi="Arial"/>
          <w:sz w:val="24"/>
          <w:szCs w:val="24"/>
        </w:rPr>
        <w:t xml:space="preserve">confidential patient information </w:t>
      </w:r>
      <w:r w:rsidR="006F1876" w:rsidRPr="00032CF3">
        <w:rPr>
          <w:rFonts w:ascii="Arial" w:hAnsi="Arial"/>
          <w:sz w:val="24"/>
          <w:szCs w:val="24"/>
        </w:rPr>
        <w:t>f</w:t>
      </w:r>
      <w:r w:rsidR="006E0727" w:rsidRPr="00032CF3">
        <w:rPr>
          <w:rFonts w:ascii="Arial" w:hAnsi="Arial"/>
          <w:sz w:val="24"/>
          <w:szCs w:val="24"/>
        </w:rPr>
        <w:t xml:space="preserve">or their commissioning purposes. </w:t>
      </w:r>
    </w:p>
    <w:p w14:paraId="4EFD5A11" w14:textId="77777777" w:rsidR="00AF63BC" w:rsidRPr="00032CF3" w:rsidRDefault="00AF63BC" w:rsidP="00947CCD">
      <w:pPr>
        <w:pStyle w:val="ListParagraph"/>
        <w:numPr>
          <w:ilvl w:val="0"/>
          <w:numId w:val="0"/>
        </w:numPr>
        <w:spacing w:before="0" w:after="0" w:line="276" w:lineRule="auto"/>
        <w:ind w:left="426" w:hanging="366"/>
        <w:rPr>
          <w:rFonts w:ascii="Arial" w:hAnsi="Arial"/>
          <w:sz w:val="24"/>
          <w:szCs w:val="24"/>
        </w:rPr>
      </w:pPr>
      <w:bookmarkStart w:id="20" w:name="_Hlk534987629"/>
    </w:p>
    <w:p w14:paraId="6875249A" w14:textId="77777777" w:rsidR="004B28CC" w:rsidRPr="00032CF3" w:rsidRDefault="004B28CC" w:rsidP="00B914EE">
      <w:pPr>
        <w:pStyle w:val="ListParagraph"/>
        <w:numPr>
          <w:ilvl w:val="0"/>
          <w:numId w:val="44"/>
        </w:numPr>
        <w:spacing w:before="0" w:after="0" w:line="276" w:lineRule="auto"/>
        <w:rPr>
          <w:rFonts w:ascii="Arial" w:hAnsi="Arial"/>
          <w:sz w:val="24"/>
          <w:szCs w:val="24"/>
        </w:rPr>
      </w:pPr>
      <w:r w:rsidRPr="00032CF3">
        <w:rPr>
          <w:rFonts w:ascii="Arial" w:hAnsi="Arial"/>
          <w:sz w:val="24"/>
          <w:szCs w:val="24"/>
          <w:lang w:eastAsia="en-GB"/>
        </w:rPr>
        <w:t xml:space="preserve">Where a Local Authority commissions an NHS agency (The Provider) to deliver its </w:t>
      </w:r>
      <w:r w:rsidRPr="00032CF3">
        <w:rPr>
          <w:rFonts w:ascii="Arial" w:hAnsi="Arial"/>
          <w:sz w:val="24"/>
          <w:szCs w:val="24"/>
          <w:lang w:val="en"/>
        </w:rPr>
        <w:t xml:space="preserve">Child and Adolescent </w:t>
      </w:r>
      <w:r w:rsidRPr="00032CF3">
        <w:rPr>
          <w:rFonts w:ascii="Arial" w:hAnsi="Arial"/>
          <w:sz w:val="24"/>
          <w:szCs w:val="24"/>
          <w:lang w:eastAsia="en-GB"/>
        </w:rPr>
        <w:t>Mental Health Services (CAMHS) using the NHS Standard Contract, the Local Authority still retains its duty to respond to statutory complaints</w:t>
      </w:r>
      <w:r w:rsidR="00A3708B">
        <w:rPr>
          <w:rFonts w:ascii="Arial" w:hAnsi="Arial"/>
          <w:sz w:val="24"/>
          <w:szCs w:val="24"/>
          <w:lang w:eastAsia="en-GB"/>
        </w:rPr>
        <w:t xml:space="preserve"> </w:t>
      </w:r>
      <w:r w:rsidR="006B118A" w:rsidRPr="00032CF3">
        <w:rPr>
          <w:rFonts w:ascii="Arial" w:hAnsi="Arial"/>
          <w:sz w:val="24"/>
          <w:szCs w:val="24"/>
          <w:lang w:eastAsia="en-GB"/>
        </w:rPr>
        <w:t>(see Appendi</w:t>
      </w:r>
      <w:r w:rsidR="008C4526" w:rsidRPr="00032CF3">
        <w:rPr>
          <w:rFonts w:ascii="Arial" w:hAnsi="Arial"/>
          <w:sz w:val="24"/>
          <w:szCs w:val="24"/>
          <w:lang w:eastAsia="en-GB"/>
        </w:rPr>
        <w:t>x L for details</w:t>
      </w:r>
      <w:r w:rsidR="006B118A" w:rsidRPr="00032CF3">
        <w:rPr>
          <w:rFonts w:ascii="Arial" w:hAnsi="Arial"/>
          <w:sz w:val="24"/>
          <w:szCs w:val="24"/>
          <w:lang w:eastAsia="en-GB"/>
        </w:rPr>
        <w:t>)</w:t>
      </w:r>
      <w:r w:rsidRPr="00032CF3">
        <w:rPr>
          <w:rFonts w:ascii="Arial" w:hAnsi="Arial"/>
          <w:sz w:val="24"/>
          <w:szCs w:val="24"/>
          <w:lang w:eastAsia="en-GB"/>
        </w:rPr>
        <w:t xml:space="preserve">. </w:t>
      </w:r>
    </w:p>
    <w:p w14:paraId="710A0D65" w14:textId="77777777" w:rsidR="00174503" w:rsidRPr="00032CF3" w:rsidRDefault="00174503" w:rsidP="004B28CC">
      <w:pPr>
        <w:spacing w:before="0" w:after="0" w:line="276" w:lineRule="auto"/>
        <w:rPr>
          <w:rFonts w:cs="Arial"/>
          <w:b/>
          <w:u w:val="single"/>
        </w:rPr>
      </w:pPr>
    </w:p>
    <w:p w14:paraId="29B0D9A6" w14:textId="77777777" w:rsidR="00463413" w:rsidRPr="00032CF3" w:rsidRDefault="00FB0E7B" w:rsidP="00130A80">
      <w:pPr>
        <w:pStyle w:val="Heading3"/>
        <w:rPr>
          <w:rFonts w:cs="Arial"/>
        </w:rPr>
      </w:pPr>
      <w:bookmarkStart w:id="21" w:name="_Toc10223053"/>
      <w:bookmarkEnd w:id="20"/>
      <w:r w:rsidRPr="00032CF3">
        <w:rPr>
          <w:rFonts w:cs="Arial"/>
        </w:rPr>
        <w:t>4.2.2</w:t>
      </w:r>
      <w:r w:rsidRPr="00032CF3">
        <w:rPr>
          <w:rFonts w:cs="Arial"/>
        </w:rPr>
        <w:tab/>
      </w:r>
      <w:r w:rsidRPr="00032CF3">
        <w:rPr>
          <w:rFonts w:cs="Arial"/>
        </w:rPr>
        <w:tab/>
      </w:r>
      <w:r w:rsidR="004C2FA9" w:rsidRPr="00032CF3">
        <w:rPr>
          <w:rFonts w:cs="Arial"/>
        </w:rPr>
        <w:t xml:space="preserve">Data Protection Act (DPA) 2018 </w:t>
      </w:r>
      <w:r w:rsidR="00D66B76" w:rsidRPr="00032CF3">
        <w:rPr>
          <w:rFonts w:cs="Arial"/>
        </w:rPr>
        <w:t>/</w:t>
      </w:r>
      <w:r w:rsidR="004C2FA9" w:rsidRPr="00032CF3">
        <w:rPr>
          <w:rFonts w:cs="Arial"/>
        </w:rPr>
        <w:t>GDPR</w:t>
      </w:r>
      <w:bookmarkEnd w:id="21"/>
    </w:p>
    <w:p w14:paraId="009A75D2" w14:textId="77777777" w:rsidR="00CD01B0" w:rsidRPr="00032CF3" w:rsidRDefault="00690F63" w:rsidP="00CD01B0">
      <w:pPr>
        <w:spacing w:before="0" w:after="0" w:line="276" w:lineRule="auto"/>
        <w:jc w:val="both"/>
        <w:rPr>
          <w:rFonts w:cs="Arial"/>
          <w:szCs w:val="24"/>
        </w:rPr>
      </w:pPr>
      <w:r w:rsidRPr="00032CF3">
        <w:rPr>
          <w:rFonts w:cs="Arial"/>
          <w:szCs w:val="24"/>
        </w:rPr>
        <w:t>It is important that the implications</w:t>
      </w:r>
      <w:r w:rsidRPr="00032CF3">
        <w:rPr>
          <w:rFonts w:cs="Arial"/>
          <w:color w:val="FF0000"/>
          <w:szCs w:val="24"/>
        </w:rPr>
        <w:t xml:space="preserve"> </w:t>
      </w:r>
      <w:r w:rsidR="00744666" w:rsidRPr="00032CF3">
        <w:rPr>
          <w:rFonts w:cs="Arial"/>
          <w:szCs w:val="24"/>
        </w:rPr>
        <w:t xml:space="preserve">of GDPR </w:t>
      </w:r>
      <w:r w:rsidR="00324A2C" w:rsidRPr="00032CF3">
        <w:rPr>
          <w:rFonts w:cs="Arial"/>
          <w:szCs w:val="24"/>
        </w:rPr>
        <w:t>Article 6</w:t>
      </w:r>
      <w:r w:rsidR="005B1912" w:rsidRPr="00032CF3">
        <w:rPr>
          <w:rFonts w:cs="Arial"/>
          <w:szCs w:val="24"/>
        </w:rPr>
        <w:t>, 9</w:t>
      </w:r>
      <w:r w:rsidR="00324A2C" w:rsidRPr="00032CF3">
        <w:rPr>
          <w:rFonts w:cs="Arial"/>
          <w:szCs w:val="24"/>
        </w:rPr>
        <w:t xml:space="preserve"> </w:t>
      </w:r>
      <w:r w:rsidR="00744666" w:rsidRPr="00032CF3">
        <w:rPr>
          <w:rFonts w:cs="Arial"/>
          <w:szCs w:val="24"/>
        </w:rPr>
        <w:t xml:space="preserve">and </w:t>
      </w:r>
      <w:r w:rsidR="001F361D" w:rsidRPr="00032CF3">
        <w:rPr>
          <w:rFonts w:cs="Arial"/>
          <w:szCs w:val="24"/>
        </w:rPr>
        <w:t>the DPA</w:t>
      </w:r>
      <w:r w:rsidR="00415D9B" w:rsidRPr="00032CF3">
        <w:rPr>
          <w:rFonts w:cs="Arial"/>
          <w:szCs w:val="24"/>
        </w:rPr>
        <w:t xml:space="preserve"> are considered to ensure that data sharing </w:t>
      </w:r>
      <w:r w:rsidR="00A30997" w:rsidRPr="00032CF3">
        <w:rPr>
          <w:rFonts w:cs="Arial"/>
          <w:szCs w:val="24"/>
        </w:rPr>
        <w:t>meet</w:t>
      </w:r>
      <w:r w:rsidR="00357C39" w:rsidRPr="00032CF3">
        <w:rPr>
          <w:rFonts w:cs="Arial"/>
          <w:szCs w:val="24"/>
        </w:rPr>
        <w:t>s</w:t>
      </w:r>
      <w:r w:rsidR="00A30997" w:rsidRPr="00032CF3">
        <w:rPr>
          <w:rFonts w:cs="Arial"/>
          <w:szCs w:val="24"/>
        </w:rPr>
        <w:t xml:space="preserve"> the </w:t>
      </w:r>
      <w:r w:rsidR="00463413" w:rsidRPr="00032CF3">
        <w:rPr>
          <w:rFonts w:cs="Arial"/>
          <w:szCs w:val="24"/>
        </w:rPr>
        <w:t>legal requirements</w:t>
      </w:r>
      <w:r w:rsidR="00A30997" w:rsidRPr="00032CF3">
        <w:rPr>
          <w:rFonts w:cs="Arial"/>
          <w:szCs w:val="24"/>
        </w:rPr>
        <w:t>.</w:t>
      </w:r>
      <w:r w:rsidR="00A2026C" w:rsidRPr="00032CF3">
        <w:rPr>
          <w:rFonts w:cs="Arial"/>
          <w:szCs w:val="24"/>
        </w:rPr>
        <w:t xml:space="preserve"> </w:t>
      </w:r>
      <w:r w:rsidR="003B776A" w:rsidRPr="00032CF3">
        <w:rPr>
          <w:rFonts w:cs="Arial"/>
          <w:szCs w:val="24"/>
        </w:rPr>
        <w:t xml:space="preserve">Chapter 2 of the DPA </w:t>
      </w:r>
      <w:r w:rsidR="00926F25" w:rsidRPr="00032CF3">
        <w:rPr>
          <w:rFonts w:cs="Arial"/>
          <w:szCs w:val="24"/>
        </w:rPr>
        <w:t xml:space="preserve">is relevant to most processing of personal data and includes the types of processing of personal data to which the GDPR applies and therefore </w:t>
      </w:r>
      <w:r w:rsidR="00224D2F" w:rsidRPr="00032CF3">
        <w:rPr>
          <w:rFonts w:cs="Arial"/>
          <w:szCs w:val="24"/>
        </w:rPr>
        <w:t xml:space="preserve">it is </w:t>
      </w:r>
      <w:r w:rsidR="00926F25" w:rsidRPr="00032CF3">
        <w:rPr>
          <w:rFonts w:cs="Arial"/>
          <w:szCs w:val="24"/>
        </w:rPr>
        <w:t>important that the GDPR and DPA are read side by side.</w:t>
      </w:r>
      <w:r w:rsidR="00D32411" w:rsidRPr="00032CF3">
        <w:rPr>
          <w:rFonts w:cs="Arial"/>
          <w:szCs w:val="24"/>
        </w:rPr>
        <w:t xml:space="preserve"> </w:t>
      </w:r>
      <w:r w:rsidR="00CD01B0" w:rsidRPr="00032CF3">
        <w:rPr>
          <w:rFonts w:cs="Arial"/>
          <w:szCs w:val="24"/>
        </w:rPr>
        <w:t xml:space="preserve">Each LHCR should be transparent about </w:t>
      </w:r>
      <w:r w:rsidR="00E70CD8" w:rsidRPr="00032CF3">
        <w:rPr>
          <w:rFonts w:cs="Arial"/>
          <w:szCs w:val="24"/>
        </w:rPr>
        <w:t>the legal basis they are relying on for each purpose for which they process data</w:t>
      </w:r>
      <w:r w:rsidR="00CD01B0" w:rsidRPr="00032CF3">
        <w:rPr>
          <w:rFonts w:cs="Arial"/>
          <w:szCs w:val="24"/>
        </w:rPr>
        <w:t xml:space="preserve">. </w:t>
      </w:r>
    </w:p>
    <w:p w14:paraId="40A6BBD3" w14:textId="77777777" w:rsidR="000E7B37" w:rsidRPr="00032CF3" w:rsidRDefault="000E7B37" w:rsidP="00AF63BC">
      <w:pPr>
        <w:spacing w:before="0" w:after="0" w:line="276" w:lineRule="auto"/>
        <w:jc w:val="both"/>
        <w:rPr>
          <w:rFonts w:cs="Arial"/>
          <w:szCs w:val="24"/>
        </w:rPr>
      </w:pPr>
    </w:p>
    <w:p w14:paraId="578072E1" w14:textId="77777777" w:rsidR="00F779F2" w:rsidRPr="00032CF3" w:rsidRDefault="000E7B37" w:rsidP="00AF63BC">
      <w:pPr>
        <w:spacing w:before="0" w:after="0" w:line="276" w:lineRule="auto"/>
        <w:jc w:val="both"/>
        <w:rPr>
          <w:rFonts w:cs="Arial"/>
          <w:szCs w:val="24"/>
        </w:rPr>
      </w:pPr>
      <w:r w:rsidRPr="00032CF3">
        <w:rPr>
          <w:rFonts w:cs="Arial"/>
          <w:szCs w:val="24"/>
        </w:rPr>
        <w:t>In addition, w</w:t>
      </w:r>
      <w:r w:rsidR="00F779F2" w:rsidRPr="00032CF3">
        <w:rPr>
          <w:rFonts w:cs="Arial"/>
          <w:szCs w:val="24"/>
        </w:rPr>
        <w:t xml:space="preserve">hen processing any special category data (such as health information) controllers </w:t>
      </w:r>
      <w:r w:rsidRPr="00032CF3">
        <w:rPr>
          <w:rFonts w:cs="Arial"/>
          <w:szCs w:val="24"/>
        </w:rPr>
        <w:t xml:space="preserve">will </w:t>
      </w:r>
      <w:r w:rsidR="00F779F2" w:rsidRPr="00032CF3">
        <w:rPr>
          <w:rFonts w:cs="Arial"/>
          <w:szCs w:val="24"/>
        </w:rPr>
        <w:t xml:space="preserve">also need to identify a separate condition </w:t>
      </w:r>
      <w:r w:rsidRPr="00032CF3">
        <w:rPr>
          <w:rFonts w:cs="Arial"/>
          <w:szCs w:val="24"/>
        </w:rPr>
        <w:t xml:space="preserve">for processing </w:t>
      </w:r>
      <w:r w:rsidR="00A46D88" w:rsidRPr="00032CF3">
        <w:rPr>
          <w:rFonts w:cs="Arial"/>
          <w:szCs w:val="24"/>
        </w:rPr>
        <w:t>as described in GDPR Article 9</w:t>
      </w:r>
      <w:r w:rsidR="00F779F2" w:rsidRPr="00032CF3">
        <w:rPr>
          <w:rFonts w:cs="Arial"/>
          <w:szCs w:val="24"/>
        </w:rPr>
        <w:t xml:space="preserve"> </w:t>
      </w:r>
      <w:r w:rsidR="00E759FE" w:rsidRPr="00032CF3">
        <w:rPr>
          <w:rFonts w:cs="Arial"/>
          <w:szCs w:val="24"/>
        </w:rPr>
        <w:t>(</w:t>
      </w:r>
      <w:r w:rsidR="007A39A9" w:rsidRPr="00032CF3">
        <w:rPr>
          <w:rFonts w:cs="Arial"/>
          <w:szCs w:val="24"/>
        </w:rPr>
        <w:t>S</w:t>
      </w:r>
      <w:r w:rsidR="00E759FE" w:rsidRPr="00032CF3">
        <w:rPr>
          <w:rFonts w:cs="Arial"/>
          <w:szCs w:val="24"/>
        </w:rPr>
        <w:t xml:space="preserve">ee Appendix </w:t>
      </w:r>
      <w:r w:rsidR="00741463" w:rsidRPr="00032CF3">
        <w:rPr>
          <w:rFonts w:cs="Arial"/>
          <w:szCs w:val="24"/>
        </w:rPr>
        <w:t>E</w:t>
      </w:r>
      <w:r w:rsidR="00E759FE" w:rsidRPr="00032CF3">
        <w:rPr>
          <w:rFonts w:cs="Arial"/>
          <w:szCs w:val="24"/>
        </w:rPr>
        <w:t xml:space="preserve"> and Appendix </w:t>
      </w:r>
      <w:r w:rsidR="00741463" w:rsidRPr="00032CF3">
        <w:rPr>
          <w:rFonts w:cs="Arial"/>
          <w:szCs w:val="24"/>
        </w:rPr>
        <w:t>H</w:t>
      </w:r>
      <w:r w:rsidR="00E759FE" w:rsidRPr="00032CF3">
        <w:rPr>
          <w:rFonts w:cs="Arial"/>
          <w:szCs w:val="24"/>
        </w:rPr>
        <w:t xml:space="preserve"> [</w:t>
      </w:r>
      <w:r w:rsidR="00F779F2" w:rsidRPr="00032CF3">
        <w:rPr>
          <w:rFonts w:cs="Arial"/>
          <w:szCs w:val="24"/>
        </w:rPr>
        <w:t>4.2</w:t>
      </w:r>
      <w:r w:rsidR="00E759FE" w:rsidRPr="00032CF3">
        <w:rPr>
          <w:rFonts w:cs="Arial"/>
          <w:szCs w:val="24"/>
        </w:rPr>
        <w:t>]</w:t>
      </w:r>
      <w:r w:rsidR="00F779F2" w:rsidRPr="00032CF3">
        <w:rPr>
          <w:rFonts w:cs="Arial"/>
          <w:szCs w:val="24"/>
        </w:rPr>
        <w:t>).</w:t>
      </w:r>
    </w:p>
    <w:p w14:paraId="75C41640" w14:textId="77777777" w:rsidR="00F538E9" w:rsidRPr="00032CF3" w:rsidRDefault="00F538E9" w:rsidP="00727691">
      <w:pPr>
        <w:spacing w:before="0" w:after="0" w:line="276" w:lineRule="auto"/>
        <w:ind w:left="720"/>
        <w:jc w:val="both"/>
        <w:rPr>
          <w:rFonts w:cs="Arial"/>
          <w:szCs w:val="24"/>
        </w:rPr>
      </w:pPr>
    </w:p>
    <w:p w14:paraId="7E968065" w14:textId="666FF2B3" w:rsidR="00C66582" w:rsidRPr="002968F5" w:rsidRDefault="00C66582" w:rsidP="00C66582">
      <w:pPr>
        <w:spacing w:before="0" w:after="0" w:line="276" w:lineRule="auto"/>
        <w:jc w:val="both"/>
        <w:rPr>
          <w:rFonts w:eastAsia="Calibri"/>
          <w:b/>
          <w:szCs w:val="24"/>
        </w:rPr>
      </w:pPr>
      <w:bookmarkStart w:id="22" w:name="_Hlk525735675"/>
      <w:r w:rsidRPr="00032CF3">
        <w:rPr>
          <w:rFonts w:cs="Arial"/>
          <w:b/>
          <w:szCs w:val="24"/>
        </w:rPr>
        <w:t>Do not use consent as a condition for processing to meet GDPR/DPA requirements, unles</w:t>
      </w:r>
      <w:r w:rsidR="0032286B" w:rsidRPr="00032CF3">
        <w:rPr>
          <w:rFonts w:cs="Arial"/>
          <w:b/>
          <w:szCs w:val="24"/>
        </w:rPr>
        <w:t>s in exceptional circumstances.</w:t>
      </w:r>
      <w:r w:rsidR="00450699" w:rsidRPr="00032CF3">
        <w:rPr>
          <w:rStyle w:val="FootnoteReference"/>
          <w:rFonts w:cs="Arial"/>
          <w:b/>
          <w:szCs w:val="24"/>
        </w:rPr>
        <w:footnoteReference w:id="5"/>
      </w:r>
      <w:r w:rsidR="00450699" w:rsidRPr="00032CF3">
        <w:rPr>
          <w:rFonts w:eastAsia="Calibri" w:cs="Arial"/>
          <w:b/>
          <w:szCs w:val="24"/>
        </w:rPr>
        <w:t xml:space="preserve"> </w:t>
      </w:r>
      <w:r w:rsidR="002968F5" w:rsidRPr="002968F5">
        <w:rPr>
          <w:rFonts w:eastAsia="Calibri"/>
          <w:b/>
          <w:szCs w:val="24"/>
        </w:rPr>
        <w:t>The most appropriate basis for lawful processing that is available to</w:t>
      </w:r>
      <w:r w:rsidR="006706A0">
        <w:rPr>
          <w:rFonts w:eastAsia="Calibri"/>
          <w:b/>
          <w:szCs w:val="24"/>
        </w:rPr>
        <w:t xml:space="preserve"> publicly</w:t>
      </w:r>
      <w:r w:rsidR="002968F5" w:rsidRPr="002968F5">
        <w:rPr>
          <w:rFonts w:eastAsia="Calibri"/>
          <w:b/>
          <w:szCs w:val="24"/>
        </w:rPr>
        <w:t xml:space="preserve"> funded and/or statutory health and social care organisations in the delivery of their functions is Article 6(1)</w:t>
      </w:r>
      <w:r w:rsidR="00667D17">
        <w:rPr>
          <w:rFonts w:eastAsia="Calibri"/>
          <w:b/>
          <w:szCs w:val="24"/>
        </w:rPr>
        <w:t>(c)</w:t>
      </w:r>
      <w:r w:rsidR="00860A72">
        <w:rPr>
          <w:rStyle w:val="FootnoteReference"/>
          <w:rFonts w:eastAsia="Calibri"/>
          <w:b/>
          <w:szCs w:val="24"/>
        </w:rPr>
        <w:footnoteReference w:id="6"/>
      </w:r>
      <w:r w:rsidR="008C12DA">
        <w:rPr>
          <w:rFonts w:eastAsia="Calibri"/>
          <w:b/>
          <w:szCs w:val="24"/>
        </w:rPr>
        <w:t xml:space="preserve"> or </w:t>
      </w:r>
      <w:r w:rsidR="002968F5" w:rsidRPr="002968F5">
        <w:rPr>
          <w:rFonts w:eastAsia="Calibri"/>
          <w:b/>
          <w:szCs w:val="24"/>
        </w:rPr>
        <w:t>(e) and Article 9(2)(h) special category data (see Appendix E for further explanation).</w:t>
      </w:r>
      <w:r w:rsidR="00546EC0">
        <w:rPr>
          <w:rFonts w:eastAsia="Calibri"/>
          <w:b/>
          <w:szCs w:val="24"/>
        </w:rPr>
        <w:t xml:space="preserve"> Where independent care providers are processing personal data in connection with </w:t>
      </w:r>
      <w:r w:rsidR="0087213E">
        <w:rPr>
          <w:rFonts w:eastAsia="Calibri"/>
          <w:b/>
          <w:szCs w:val="24"/>
        </w:rPr>
        <w:t xml:space="preserve">the provision of self-funded care they </w:t>
      </w:r>
      <w:r w:rsidR="00121B99">
        <w:rPr>
          <w:rFonts w:eastAsia="Calibri"/>
          <w:b/>
          <w:szCs w:val="24"/>
        </w:rPr>
        <w:t>can</w:t>
      </w:r>
      <w:r w:rsidR="0087213E">
        <w:rPr>
          <w:rFonts w:eastAsia="Calibri"/>
          <w:b/>
          <w:szCs w:val="24"/>
        </w:rPr>
        <w:t xml:space="preserve"> rely on Article 6(1)</w:t>
      </w:r>
      <w:r w:rsidR="00121B99">
        <w:rPr>
          <w:rFonts w:eastAsia="Calibri"/>
          <w:b/>
          <w:szCs w:val="24"/>
        </w:rPr>
        <w:t>(f) (legitimate interests)</w:t>
      </w:r>
      <w:r w:rsidR="000B60DE">
        <w:rPr>
          <w:rFonts w:eastAsia="Calibri"/>
          <w:b/>
          <w:szCs w:val="24"/>
        </w:rPr>
        <w:t>. There is no change to the Article 9</w:t>
      </w:r>
      <w:r w:rsidR="00BA0E61">
        <w:rPr>
          <w:rFonts w:eastAsia="Calibri"/>
          <w:b/>
          <w:szCs w:val="24"/>
        </w:rPr>
        <w:t xml:space="preserve"> basis.</w:t>
      </w:r>
    </w:p>
    <w:p w14:paraId="6EC8994D" w14:textId="77777777" w:rsidR="002418C5" w:rsidRPr="00032CF3" w:rsidRDefault="002418C5" w:rsidP="00C66582">
      <w:pPr>
        <w:spacing w:before="0" w:after="0" w:line="276" w:lineRule="auto"/>
        <w:jc w:val="both"/>
        <w:rPr>
          <w:rFonts w:eastAsia="Calibri" w:cs="Arial"/>
          <w:b/>
          <w:szCs w:val="24"/>
        </w:rPr>
      </w:pPr>
    </w:p>
    <w:p w14:paraId="20AE0D7E" w14:textId="77777777" w:rsidR="00E22548" w:rsidRPr="00032CF3" w:rsidRDefault="00E22548" w:rsidP="00E22548">
      <w:pPr>
        <w:spacing w:before="0" w:after="0" w:line="276" w:lineRule="auto"/>
        <w:jc w:val="both"/>
        <w:rPr>
          <w:rFonts w:eastAsia="Calibri" w:cs="Arial"/>
          <w:szCs w:val="24"/>
        </w:rPr>
      </w:pPr>
      <w:r w:rsidRPr="00032CF3">
        <w:rPr>
          <w:rFonts w:eastAsia="Calibri" w:cs="Arial"/>
          <w:szCs w:val="24"/>
        </w:rPr>
        <w:t>This means that in practice, for much of the data processed in healthcare settings such as GP practices, pharmacies, hospitals, dentists there will be a two-stage process: the first stage giving the lawful basis as applied to all personal data (Article 6 of the GDPR), and the second because you are processing a special category of personal data, data concerning health (Article 9).</w:t>
      </w:r>
    </w:p>
    <w:p w14:paraId="5048719D" w14:textId="77777777" w:rsidR="00E22548" w:rsidRPr="00032CF3" w:rsidRDefault="00E22548" w:rsidP="00E22548">
      <w:pPr>
        <w:spacing w:before="0" w:after="0" w:line="276" w:lineRule="auto"/>
        <w:jc w:val="both"/>
        <w:rPr>
          <w:rFonts w:eastAsia="Calibri" w:cs="Arial"/>
          <w:szCs w:val="24"/>
        </w:rPr>
      </w:pPr>
    </w:p>
    <w:p w14:paraId="063B81E2" w14:textId="77777777" w:rsidR="00E22548" w:rsidRPr="00032CF3" w:rsidRDefault="00E22548" w:rsidP="00E22548">
      <w:pPr>
        <w:spacing w:before="0" w:after="0" w:line="276" w:lineRule="auto"/>
        <w:jc w:val="both"/>
        <w:rPr>
          <w:rFonts w:eastAsia="Calibri" w:cs="Arial"/>
          <w:szCs w:val="24"/>
        </w:rPr>
      </w:pPr>
      <w:r w:rsidRPr="00032CF3">
        <w:rPr>
          <w:rFonts w:eastAsia="Calibri" w:cs="Arial"/>
          <w:szCs w:val="24"/>
        </w:rPr>
        <w:t xml:space="preserve">First stage: Generally, many healthcare settings including those listed above have a lawful basis for processing personal data because it is necessary ‘for the performance of a task carried out in the public interest’. In some circumstances, the data controllers at the healthcare settings could also say that the processing is necessary for ‘compliance with a legal obligation’ </w:t>
      </w:r>
      <w:r w:rsidRPr="00032CF3">
        <w:rPr>
          <w:rFonts w:eastAsia="Calibri" w:cs="Arial"/>
          <w:szCs w:val="24"/>
        </w:rPr>
        <w:lastRenderedPageBreak/>
        <w:t>where they have one to provide care, or ‘for the performance of a contract’ (locally commissioned services) or ‘to protect the vital interests of the data subject’ (emergencies). The lawful basis for processing must be recorded.</w:t>
      </w:r>
    </w:p>
    <w:p w14:paraId="33F27985" w14:textId="77777777" w:rsidR="00E22548" w:rsidRPr="00032CF3" w:rsidRDefault="00E22548" w:rsidP="00E22548">
      <w:pPr>
        <w:spacing w:before="0" w:after="0" w:line="276" w:lineRule="auto"/>
        <w:jc w:val="both"/>
        <w:rPr>
          <w:rFonts w:eastAsia="Calibri" w:cs="Arial"/>
          <w:szCs w:val="24"/>
        </w:rPr>
      </w:pPr>
    </w:p>
    <w:p w14:paraId="782CA28E" w14:textId="77777777" w:rsidR="00E22548" w:rsidRPr="00032CF3" w:rsidRDefault="00E22548" w:rsidP="00E22548">
      <w:pPr>
        <w:spacing w:before="0" w:after="0" w:line="276" w:lineRule="auto"/>
        <w:jc w:val="both"/>
        <w:rPr>
          <w:rFonts w:eastAsia="Calibri" w:cs="Arial"/>
          <w:szCs w:val="24"/>
        </w:rPr>
      </w:pPr>
      <w:r w:rsidRPr="00032CF3">
        <w:rPr>
          <w:rFonts w:eastAsia="Calibri" w:cs="Arial"/>
          <w:szCs w:val="24"/>
        </w:rPr>
        <w:t>Second stage: Special categories of personal data, including data concerning health, may be processed only for reasons specified in Article 9 of the GDPR. In the case of most healthcare settings, the reasons are generally for ‘the provision of health care or treatment’ or ‘the management of health care systems or services or social care systems or services’ or ‘necessary for reasons of public health in the area of public health’. When processed for these reasons, a healthcare professional, social work professional or a person with a duty of confidentiality under a legal provision, must be responsible for the processing.</w:t>
      </w:r>
    </w:p>
    <w:p w14:paraId="6365071D" w14:textId="77777777" w:rsidR="009D0464" w:rsidRPr="00032CF3" w:rsidRDefault="009D0464" w:rsidP="00AF63BC">
      <w:pPr>
        <w:spacing w:before="0" w:after="0" w:line="276" w:lineRule="auto"/>
        <w:jc w:val="both"/>
        <w:rPr>
          <w:rFonts w:eastAsia="Calibri" w:cs="Arial"/>
          <w:sz w:val="28"/>
          <w:szCs w:val="24"/>
        </w:rPr>
      </w:pPr>
    </w:p>
    <w:p w14:paraId="35CEC22C" w14:textId="77777777" w:rsidR="005E5BB7" w:rsidRPr="00B5721A" w:rsidRDefault="00CD4859" w:rsidP="009D0464">
      <w:pPr>
        <w:spacing w:before="0" w:after="0" w:line="276" w:lineRule="auto"/>
        <w:jc w:val="both"/>
        <w:rPr>
          <w:rFonts w:cs="Arial"/>
          <w:color w:val="000000" w:themeColor="text1"/>
        </w:rPr>
      </w:pPr>
      <w:r>
        <w:rPr>
          <w:rFonts w:cs="Arial"/>
          <w:color w:val="000000" w:themeColor="text1"/>
        </w:rPr>
        <w:t>W</w:t>
      </w:r>
      <w:r w:rsidR="001812F6" w:rsidRPr="00B5721A">
        <w:rPr>
          <w:rFonts w:cs="Arial"/>
          <w:color w:val="000000" w:themeColor="text1"/>
        </w:rPr>
        <w:t>here processing data and citing Article 6</w:t>
      </w:r>
      <w:r w:rsidR="00B5721A" w:rsidRPr="00B5721A">
        <w:rPr>
          <w:rFonts w:cs="Arial"/>
          <w:color w:val="000000" w:themeColor="text1"/>
        </w:rPr>
        <w:t>(</w:t>
      </w:r>
      <w:r w:rsidR="001812F6" w:rsidRPr="00B5721A">
        <w:rPr>
          <w:rFonts w:cs="Arial"/>
          <w:color w:val="000000" w:themeColor="text1"/>
        </w:rPr>
        <w:t>1</w:t>
      </w:r>
      <w:r w:rsidR="00B5721A" w:rsidRPr="00B5721A">
        <w:rPr>
          <w:rFonts w:cs="Arial"/>
          <w:color w:val="000000" w:themeColor="text1"/>
        </w:rPr>
        <w:t>)</w:t>
      </w:r>
      <w:r w:rsidR="001812F6" w:rsidRPr="00B5721A">
        <w:rPr>
          <w:rFonts w:cs="Arial"/>
          <w:color w:val="000000" w:themeColor="text1"/>
        </w:rPr>
        <w:t>(e) as the basis for processing</w:t>
      </w:r>
      <w:r w:rsidR="004A26BB" w:rsidRPr="00B5721A">
        <w:rPr>
          <w:rFonts w:cs="Arial"/>
          <w:color w:val="000000" w:themeColor="text1"/>
        </w:rPr>
        <w:t xml:space="preserve">, </w:t>
      </w:r>
      <w:r>
        <w:rPr>
          <w:rFonts w:cs="Arial"/>
          <w:color w:val="000000" w:themeColor="text1"/>
        </w:rPr>
        <w:t xml:space="preserve">you </w:t>
      </w:r>
      <w:r w:rsidR="004A26BB" w:rsidRPr="00B5721A">
        <w:rPr>
          <w:rFonts w:cs="Arial"/>
          <w:color w:val="000000" w:themeColor="text1"/>
        </w:rPr>
        <w:t>must be able to specify the Act of Parliament, Regulation or Statutory Instrument that provides the lawful basis for the activity. This, in turn, will eng</w:t>
      </w:r>
      <w:r w:rsidR="00B5721A" w:rsidRPr="00B5721A">
        <w:rPr>
          <w:rFonts w:cs="Arial"/>
          <w:color w:val="000000" w:themeColor="text1"/>
        </w:rPr>
        <w:t>age Article 6(</w:t>
      </w:r>
      <w:r w:rsidR="004A26BB" w:rsidRPr="00B5721A">
        <w:rPr>
          <w:rFonts w:cs="Arial"/>
          <w:color w:val="000000" w:themeColor="text1"/>
        </w:rPr>
        <w:t>1</w:t>
      </w:r>
      <w:r w:rsidR="00B5721A" w:rsidRPr="00B5721A">
        <w:rPr>
          <w:rFonts w:cs="Arial"/>
          <w:color w:val="000000" w:themeColor="text1"/>
        </w:rPr>
        <w:t>)</w:t>
      </w:r>
      <w:r w:rsidR="004A26BB" w:rsidRPr="00B5721A">
        <w:rPr>
          <w:rFonts w:cs="Arial"/>
          <w:color w:val="000000" w:themeColor="text1"/>
        </w:rPr>
        <w:t xml:space="preserve">(e), and provide a lawful basis for processing data. </w:t>
      </w:r>
    </w:p>
    <w:p w14:paraId="57FBD545" w14:textId="77777777" w:rsidR="00E41777" w:rsidRPr="00032CF3" w:rsidRDefault="00E41777" w:rsidP="00FF3E56">
      <w:pPr>
        <w:spacing w:before="0" w:after="0" w:line="276" w:lineRule="auto"/>
        <w:jc w:val="both"/>
        <w:rPr>
          <w:rFonts w:cs="Arial"/>
          <w:color w:val="808080" w:themeColor="background1" w:themeShade="80"/>
        </w:rPr>
      </w:pPr>
    </w:p>
    <w:p w14:paraId="73319640" w14:textId="29F27F95" w:rsidR="009D0464" w:rsidRDefault="009D0464" w:rsidP="00241D06">
      <w:pPr>
        <w:spacing w:before="0" w:after="0" w:line="276" w:lineRule="auto"/>
        <w:jc w:val="both"/>
        <w:rPr>
          <w:rFonts w:cs="Arial"/>
          <w:szCs w:val="22"/>
        </w:rPr>
      </w:pPr>
      <w:r w:rsidRPr="00032CF3">
        <w:rPr>
          <w:rFonts w:cs="Arial"/>
          <w:szCs w:val="22"/>
        </w:rPr>
        <w:t xml:space="preserve">Should specific processing arise in </w:t>
      </w:r>
      <w:r w:rsidR="00450699" w:rsidRPr="00032CF3">
        <w:rPr>
          <w:rFonts w:cs="Arial"/>
          <w:szCs w:val="22"/>
        </w:rPr>
        <w:t xml:space="preserve">which explicit consent is </w:t>
      </w:r>
      <w:r w:rsidRPr="00032CF3">
        <w:rPr>
          <w:rFonts w:cs="Arial"/>
          <w:szCs w:val="22"/>
        </w:rPr>
        <w:t>required</w:t>
      </w:r>
      <w:r w:rsidR="00FA7D0B" w:rsidRPr="00032CF3">
        <w:rPr>
          <w:rFonts w:cs="Arial"/>
          <w:szCs w:val="22"/>
        </w:rPr>
        <w:t xml:space="preserve"> by law</w:t>
      </w:r>
      <w:r w:rsidRPr="00032CF3">
        <w:rPr>
          <w:rFonts w:cs="Arial"/>
          <w:szCs w:val="22"/>
        </w:rPr>
        <w:t xml:space="preserve">, </w:t>
      </w:r>
      <w:r w:rsidR="00A2184E" w:rsidRPr="00032CF3">
        <w:rPr>
          <w:rFonts w:cs="Arial"/>
          <w:szCs w:val="22"/>
        </w:rPr>
        <w:t>e.g.</w:t>
      </w:r>
      <w:r w:rsidRPr="00032CF3">
        <w:rPr>
          <w:rFonts w:cs="Arial"/>
          <w:szCs w:val="22"/>
        </w:rPr>
        <w:t xml:space="preserve"> </w:t>
      </w:r>
      <w:r w:rsidR="000B6581" w:rsidRPr="00032CF3">
        <w:rPr>
          <w:rFonts w:cs="Arial"/>
          <w:szCs w:val="22"/>
        </w:rPr>
        <w:t>Human Fertilisation and Embryology Act 2008 and Gender Recognition Act 2004</w:t>
      </w:r>
      <w:r w:rsidR="006B782B">
        <w:rPr>
          <w:rFonts w:cs="Arial"/>
          <w:szCs w:val="22"/>
        </w:rPr>
        <w:t xml:space="preserve"> </w:t>
      </w:r>
      <w:r w:rsidR="006B782B">
        <w:rPr>
          <w:rFonts w:cs="Arial"/>
          <w:szCs w:val="22"/>
        </w:rPr>
        <w:t>then please refer to</w:t>
      </w:r>
      <w:r w:rsidRPr="00032CF3">
        <w:rPr>
          <w:rFonts w:cs="Arial"/>
          <w:szCs w:val="22"/>
        </w:rPr>
        <w:t xml:space="preserve"> Appendix </w:t>
      </w:r>
      <w:r w:rsidR="00741463" w:rsidRPr="00032CF3">
        <w:rPr>
          <w:rFonts w:cs="Arial"/>
          <w:szCs w:val="22"/>
        </w:rPr>
        <w:t>G</w:t>
      </w:r>
      <w:r w:rsidRPr="00032CF3">
        <w:rPr>
          <w:rFonts w:cs="Arial"/>
          <w:szCs w:val="22"/>
        </w:rPr>
        <w:t>.</w:t>
      </w:r>
    </w:p>
    <w:p w14:paraId="505DFB74" w14:textId="77777777" w:rsidR="00F758F8" w:rsidRPr="00D20491" w:rsidRDefault="00F758F8" w:rsidP="00241D06">
      <w:pPr>
        <w:spacing w:before="0" w:after="0" w:line="276" w:lineRule="auto"/>
        <w:jc w:val="both"/>
        <w:rPr>
          <w:rFonts w:cs="Arial"/>
          <w:color w:val="000000" w:themeColor="text1"/>
          <w:szCs w:val="22"/>
        </w:rPr>
      </w:pPr>
    </w:p>
    <w:p w14:paraId="408461B0" w14:textId="3EE6712E" w:rsidR="00F758F8" w:rsidRPr="00D20491" w:rsidRDefault="00F758F8" w:rsidP="00241D06">
      <w:pPr>
        <w:spacing w:before="0" w:after="0" w:line="276" w:lineRule="auto"/>
        <w:jc w:val="both"/>
        <w:rPr>
          <w:rFonts w:cs="Arial"/>
          <w:color w:val="000000" w:themeColor="text1"/>
          <w:szCs w:val="22"/>
        </w:rPr>
      </w:pPr>
      <w:r w:rsidRPr="00D20491">
        <w:rPr>
          <w:rFonts w:cs="Arial"/>
          <w:color w:val="000000" w:themeColor="text1"/>
          <w:szCs w:val="22"/>
        </w:rPr>
        <w:t>A flowchart covering Data Protection Requirements has been added to the Tools and Templates</w:t>
      </w:r>
      <w:r w:rsidR="001E3FEB" w:rsidRPr="00D20491">
        <w:rPr>
          <w:rFonts w:cs="Arial"/>
          <w:color w:val="000000" w:themeColor="text1"/>
          <w:szCs w:val="22"/>
        </w:rPr>
        <w:t xml:space="preserve"> [4.1]</w:t>
      </w:r>
      <w:r w:rsidRPr="00D20491">
        <w:rPr>
          <w:rFonts w:cs="Arial"/>
          <w:color w:val="000000" w:themeColor="text1"/>
          <w:szCs w:val="22"/>
        </w:rPr>
        <w:t>.</w:t>
      </w:r>
    </w:p>
    <w:bookmarkEnd w:id="22"/>
    <w:p w14:paraId="31A480E5" w14:textId="77777777" w:rsidR="00E81D4F" w:rsidRPr="00032CF3" w:rsidRDefault="00E81D4F" w:rsidP="00241D06">
      <w:pPr>
        <w:spacing w:before="0" w:after="0" w:line="276" w:lineRule="auto"/>
        <w:jc w:val="both"/>
        <w:rPr>
          <w:rFonts w:cs="Arial"/>
          <w:sz w:val="22"/>
          <w:szCs w:val="22"/>
          <w:u w:val="single"/>
        </w:rPr>
      </w:pPr>
    </w:p>
    <w:p w14:paraId="0EF19082" w14:textId="77777777" w:rsidR="00A62553" w:rsidRPr="00032CF3" w:rsidRDefault="00130A80" w:rsidP="00241D06">
      <w:pPr>
        <w:pStyle w:val="Heading3"/>
        <w:jc w:val="both"/>
        <w:rPr>
          <w:rFonts w:cs="Arial"/>
        </w:rPr>
      </w:pPr>
      <w:bookmarkStart w:id="23" w:name="_Hlk3532830"/>
      <w:bookmarkStart w:id="24" w:name="_Toc10223054"/>
      <w:r w:rsidRPr="00032CF3">
        <w:rPr>
          <w:rFonts w:cs="Arial"/>
        </w:rPr>
        <w:t>4.2.3</w:t>
      </w:r>
      <w:r w:rsidRPr="00032CF3">
        <w:rPr>
          <w:rFonts w:cs="Arial"/>
        </w:rPr>
        <w:tab/>
      </w:r>
      <w:r w:rsidR="00E46641" w:rsidRPr="00032CF3">
        <w:rPr>
          <w:rFonts w:cs="Arial"/>
        </w:rPr>
        <w:t>Common Law Duty of Confidentiality</w:t>
      </w:r>
      <w:bookmarkEnd w:id="24"/>
    </w:p>
    <w:p w14:paraId="6441915C" w14:textId="77777777" w:rsidR="001F361D" w:rsidRDefault="00F55E62" w:rsidP="00241D06">
      <w:pPr>
        <w:spacing w:before="0" w:after="0" w:line="276" w:lineRule="auto"/>
        <w:jc w:val="both"/>
        <w:rPr>
          <w:rFonts w:cs="Arial"/>
          <w:i/>
          <w:szCs w:val="22"/>
        </w:rPr>
      </w:pPr>
      <w:r w:rsidRPr="00032CF3">
        <w:rPr>
          <w:rFonts w:cs="Arial"/>
          <w:szCs w:val="22"/>
        </w:rPr>
        <w:t>T</w:t>
      </w:r>
      <w:r w:rsidR="00595A7D" w:rsidRPr="00032CF3">
        <w:rPr>
          <w:rFonts w:cs="Arial"/>
          <w:szCs w:val="22"/>
        </w:rPr>
        <w:t>he</w:t>
      </w:r>
      <w:r w:rsidR="00B1323A" w:rsidRPr="00032CF3">
        <w:rPr>
          <w:rFonts w:cs="Arial"/>
          <w:szCs w:val="22"/>
        </w:rPr>
        <w:t xml:space="preserve"> Common Law Duty of Confidentiality</w:t>
      </w:r>
      <w:r w:rsidR="00DF12C2" w:rsidRPr="00032CF3">
        <w:rPr>
          <w:rFonts w:cs="Arial"/>
          <w:szCs w:val="22"/>
        </w:rPr>
        <w:t xml:space="preserve"> (CLDC)</w:t>
      </w:r>
      <w:r w:rsidRPr="00032CF3">
        <w:rPr>
          <w:rFonts w:cs="Arial"/>
          <w:szCs w:val="22"/>
        </w:rPr>
        <w:t xml:space="preserve"> </w:t>
      </w:r>
      <w:r w:rsidR="003C5533" w:rsidRPr="00032CF3">
        <w:rPr>
          <w:rFonts w:cs="Arial"/>
          <w:szCs w:val="22"/>
        </w:rPr>
        <w:t>will need t</w:t>
      </w:r>
      <w:r w:rsidR="00141515" w:rsidRPr="00032CF3">
        <w:rPr>
          <w:rFonts w:cs="Arial"/>
          <w:szCs w:val="22"/>
        </w:rPr>
        <w:t>o be</w:t>
      </w:r>
      <w:r w:rsidR="00141515" w:rsidRPr="00032CF3">
        <w:rPr>
          <w:rFonts w:cs="Arial"/>
          <w:i/>
          <w:szCs w:val="22"/>
        </w:rPr>
        <w:t xml:space="preserve"> </w:t>
      </w:r>
      <w:r w:rsidR="00141515" w:rsidRPr="00032CF3">
        <w:rPr>
          <w:rFonts w:cs="Arial"/>
          <w:szCs w:val="22"/>
        </w:rPr>
        <w:t>considered for each journey.</w:t>
      </w:r>
      <w:r w:rsidR="00141515" w:rsidRPr="00032CF3">
        <w:rPr>
          <w:rFonts w:cs="Arial"/>
          <w:i/>
          <w:szCs w:val="22"/>
        </w:rPr>
        <w:t xml:space="preserve"> </w:t>
      </w:r>
    </w:p>
    <w:p w14:paraId="427250DC" w14:textId="77777777" w:rsidR="00B46CB7" w:rsidRPr="00032CF3" w:rsidRDefault="00B46CB7" w:rsidP="00241D06">
      <w:pPr>
        <w:spacing w:before="0" w:after="0" w:line="276" w:lineRule="auto"/>
        <w:jc w:val="both"/>
        <w:rPr>
          <w:rFonts w:cs="Arial"/>
          <w:szCs w:val="22"/>
        </w:rPr>
      </w:pPr>
    </w:p>
    <w:p w14:paraId="3694EAFA" w14:textId="77777777" w:rsidR="00047240" w:rsidRPr="007D2CC3" w:rsidRDefault="00991B92" w:rsidP="00241D06">
      <w:pPr>
        <w:spacing w:before="0" w:after="0" w:line="276" w:lineRule="auto"/>
        <w:jc w:val="both"/>
        <w:rPr>
          <w:color w:val="000000" w:themeColor="text1"/>
        </w:rPr>
      </w:pPr>
      <w:r w:rsidRPr="007D2CC3">
        <w:t>The Health and Social Care</w:t>
      </w:r>
      <w:r w:rsidR="0074256F" w:rsidRPr="007D2CC3">
        <w:t xml:space="preserve"> (Quality and Safety)</w:t>
      </w:r>
      <w:r w:rsidRPr="002F4D54">
        <w:t xml:space="preserve"> Act 201</w:t>
      </w:r>
      <w:r w:rsidR="0074256F" w:rsidRPr="002F4D54">
        <w:t xml:space="preserve">5 </w:t>
      </w:r>
      <w:r w:rsidR="00F476A9">
        <w:t>inserts</w:t>
      </w:r>
      <w:r w:rsidRPr="002F4D54">
        <w:t xml:space="preserve"> section </w:t>
      </w:r>
      <w:r w:rsidR="00FF3E56" w:rsidRPr="00487E92">
        <w:t xml:space="preserve">251B </w:t>
      </w:r>
      <w:r w:rsidR="00F476A9">
        <w:t>into the Health and Social Care Act 201</w:t>
      </w:r>
      <w:r w:rsidR="007F61EE">
        <w:t xml:space="preserve">2. The section </w:t>
      </w:r>
      <w:r w:rsidRPr="00487E92">
        <w:t xml:space="preserve">places an obligation on a </w:t>
      </w:r>
      <w:r w:rsidR="00677A0D" w:rsidRPr="00065290">
        <w:t>‘</w:t>
      </w:r>
      <w:r w:rsidRPr="00065290">
        <w:t>relevant person</w:t>
      </w:r>
      <w:r w:rsidR="00677A0D" w:rsidRPr="00BA7618">
        <w:t>’</w:t>
      </w:r>
      <w:r w:rsidR="008015D9" w:rsidRPr="00BA7618">
        <w:t xml:space="preserve">, (i.e. a </w:t>
      </w:r>
      <w:r w:rsidR="008015D9" w:rsidRPr="00235E62">
        <w:rPr>
          <w:color w:val="000000"/>
          <w:shd w:val="clear" w:color="auto" w:fill="FFFFFF"/>
        </w:rPr>
        <w:t>health or adult social</w:t>
      </w:r>
      <w:r w:rsidR="00A46D88" w:rsidRPr="00235E62">
        <w:rPr>
          <w:color w:val="000000"/>
          <w:shd w:val="clear" w:color="auto" w:fill="FFFFFF"/>
        </w:rPr>
        <w:t xml:space="preserve"> care commissioner or provider, </w:t>
      </w:r>
      <w:r w:rsidR="008015D9" w:rsidRPr="00B92B23">
        <w:rPr>
          <w:color w:val="000000"/>
          <w:shd w:val="clear" w:color="auto" w:fill="FFFFFF"/>
        </w:rPr>
        <w:t>hence it is</w:t>
      </w:r>
      <w:r w:rsidR="00677A0D" w:rsidRPr="00B92B23">
        <w:rPr>
          <w:color w:val="000000"/>
          <w:shd w:val="clear" w:color="auto" w:fill="FFFFFF"/>
        </w:rPr>
        <w:t xml:space="preserve"> a corporate duty </w:t>
      </w:r>
      <w:r w:rsidR="008015D9" w:rsidRPr="002B40A5">
        <w:rPr>
          <w:color w:val="000000"/>
          <w:shd w:val="clear" w:color="auto" w:fill="FFFFFF"/>
        </w:rPr>
        <w:t xml:space="preserve">not an individual’s) </w:t>
      </w:r>
      <w:r w:rsidRPr="002B40A5">
        <w:t xml:space="preserve">to share information to facilitate the provision of health and social care services or </w:t>
      </w:r>
      <w:r w:rsidR="00245247" w:rsidRPr="002B40A5">
        <w:t>because they feel it is in t</w:t>
      </w:r>
      <w:r w:rsidRPr="00E16BD1">
        <w:t>he individual’s best interest</w:t>
      </w:r>
      <w:r w:rsidR="00F3330C" w:rsidRPr="00E16BD1">
        <w:t xml:space="preserve"> and accords with the Caldicott 7</w:t>
      </w:r>
      <w:r w:rsidR="00F3330C" w:rsidRPr="00E16BD1">
        <w:rPr>
          <w:vertAlign w:val="superscript"/>
        </w:rPr>
        <w:t>th</w:t>
      </w:r>
      <w:r w:rsidR="00F3330C" w:rsidRPr="00E16BD1">
        <w:t xml:space="preserve"> principle (see Appendix </w:t>
      </w:r>
      <w:r w:rsidR="00741463" w:rsidRPr="00860A72">
        <w:t>B</w:t>
      </w:r>
      <w:r w:rsidR="00F3330C" w:rsidRPr="00860A72">
        <w:t>)</w:t>
      </w:r>
      <w:r w:rsidR="00B46CB7" w:rsidRPr="00860A72">
        <w:t>.</w:t>
      </w:r>
      <w:r w:rsidR="00A32AE6" w:rsidRPr="00860A72">
        <w:t xml:space="preserve"> H</w:t>
      </w:r>
      <w:r w:rsidRPr="00860A72">
        <w:t>owever</w:t>
      </w:r>
      <w:r w:rsidR="00764201" w:rsidRPr="00860A72">
        <w:t>,</w:t>
      </w:r>
      <w:r w:rsidRPr="00860A72">
        <w:t xml:space="preserve"> this need not be complied with should the relevant person </w:t>
      </w:r>
      <w:r w:rsidR="00245247" w:rsidRPr="00860A72">
        <w:t xml:space="preserve">reasonably consider that the individual would object (or </w:t>
      </w:r>
      <w:r w:rsidR="007A39A9" w:rsidRPr="00D54FA7">
        <w:t xml:space="preserve">be </w:t>
      </w:r>
      <w:r w:rsidR="00245247" w:rsidRPr="00F67441">
        <w:t xml:space="preserve">likely to object) to the disclosure of the information.  An objection can be raised and </w:t>
      </w:r>
      <w:r w:rsidR="00245247" w:rsidRPr="00F67441">
        <w:rPr>
          <w:color w:val="000000" w:themeColor="text1"/>
        </w:rPr>
        <w:t xml:space="preserve">considered but does not have to be upheld should </w:t>
      </w:r>
      <w:r w:rsidR="00245247" w:rsidRPr="00561252">
        <w:rPr>
          <w:color w:val="000000" w:themeColor="text1"/>
        </w:rPr>
        <w:t xml:space="preserve">the purpose </w:t>
      </w:r>
      <w:r w:rsidR="00800E45" w:rsidRPr="00561252">
        <w:rPr>
          <w:color w:val="000000" w:themeColor="text1"/>
        </w:rPr>
        <w:t xml:space="preserve">of sharing </w:t>
      </w:r>
      <w:r w:rsidR="00245247" w:rsidRPr="00561252">
        <w:rPr>
          <w:color w:val="000000" w:themeColor="text1"/>
        </w:rPr>
        <w:t>be justified</w:t>
      </w:r>
      <w:r w:rsidR="00CD4859">
        <w:rPr>
          <w:color w:val="000000" w:themeColor="text1"/>
        </w:rPr>
        <w:t xml:space="preserve"> (see section on patient objections)</w:t>
      </w:r>
      <w:r w:rsidR="00245247" w:rsidRPr="007D2CC3">
        <w:rPr>
          <w:color w:val="000000" w:themeColor="text1"/>
        </w:rPr>
        <w:t xml:space="preserve">. </w:t>
      </w:r>
    </w:p>
    <w:p w14:paraId="0A07579C" w14:textId="77777777" w:rsidR="00B46CB7" w:rsidRPr="00947CCD" w:rsidRDefault="00B46CB7" w:rsidP="00241D06">
      <w:pPr>
        <w:spacing w:before="0" w:after="0" w:line="276" w:lineRule="auto"/>
        <w:ind w:left="284"/>
        <w:jc w:val="both"/>
        <w:rPr>
          <w:color w:val="000000" w:themeColor="text1"/>
        </w:rPr>
      </w:pPr>
    </w:p>
    <w:p w14:paraId="56B8A688" w14:textId="77777777" w:rsidR="00526403" w:rsidRPr="00947CCD" w:rsidRDefault="00526403" w:rsidP="00C6782F">
      <w:pPr>
        <w:autoSpaceDE w:val="0"/>
        <w:autoSpaceDN w:val="0"/>
        <w:adjustRightInd w:val="0"/>
        <w:spacing w:before="0" w:after="0" w:line="276" w:lineRule="auto"/>
        <w:jc w:val="both"/>
        <w:rPr>
          <w:strike/>
          <w:color w:val="FF0000"/>
        </w:rPr>
      </w:pPr>
      <w:r w:rsidRPr="00947CCD">
        <w:rPr>
          <w:color w:val="000000" w:themeColor="text1"/>
        </w:rPr>
        <w:t xml:space="preserve">In delivering individual care, it is reasonable to rely upon implied consent as the basis for sharing relevant </w:t>
      </w:r>
      <w:r w:rsidRPr="007D2CC3">
        <w:t>information about their treatment and care needs with others involved in the delivery of their</w:t>
      </w:r>
      <w:r w:rsidRPr="007D2CC3">
        <w:rPr>
          <w:color w:val="FF0000"/>
        </w:rPr>
        <w:t xml:space="preserve"> </w:t>
      </w:r>
      <w:r w:rsidRPr="00947CCD">
        <w:rPr>
          <w:color w:val="000000" w:themeColor="text1"/>
        </w:rPr>
        <w:t>direct</w:t>
      </w:r>
      <w:r w:rsidRPr="007D2CC3">
        <w:rPr>
          <w:color w:val="FF0000"/>
        </w:rPr>
        <w:t xml:space="preserve"> </w:t>
      </w:r>
      <w:r w:rsidRPr="007D2CC3">
        <w:t xml:space="preserve">care.  </w:t>
      </w:r>
      <w:r w:rsidRPr="00947CCD">
        <w:rPr>
          <w:color w:val="000000" w:themeColor="text1"/>
        </w:rPr>
        <w:t>Unlike the high threshold for consent (where applicable) under GDPR, the same standard of consent is not necessary to satisfy CLDC.</w:t>
      </w:r>
      <w:r w:rsidRPr="007D2CC3">
        <w:t xml:space="preserve"> Consent under the CLDC may therefore be implied</w:t>
      </w:r>
      <w:r w:rsidRPr="007D2CC3">
        <w:rPr>
          <w:color w:val="FF0000"/>
        </w:rPr>
        <w:t xml:space="preserve"> </w:t>
      </w:r>
      <w:r w:rsidRPr="00947CCD">
        <w:rPr>
          <w:color w:val="000000" w:themeColor="text1"/>
        </w:rPr>
        <w:t>irrespective of the sensitivity of data involved – unless the patient specifically objects to confidential patient information being shared for these purposes.</w:t>
      </w:r>
    </w:p>
    <w:p w14:paraId="04D9855A" w14:textId="77777777" w:rsidR="00B46CB7" w:rsidRPr="00947CCD" w:rsidRDefault="00B46CB7" w:rsidP="00C6782F">
      <w:pPr>
        <w:autoSpaceDE w:val="0"/>
        <w:autoSpaceDN w:val="0"/>
        <w:adjustRightInd w:val="0"/>
        <w:spacing w:before="0" w:after="0" w:line="276" w:lineRule="auto"/>
        <w:jc w:val="both"/>
        <w:rPr>
          <w:strike/>
          <w:color w:val="FF0000"/>
        </w:rPr>
      </w:pPr>
    </w:p>
    <w:p w14:paraId="27DD8E49" w14:textId="5BEECB6A" w:rsidR="005A1D9A" w:rsidRDefault="00526403" w:rsidP="00C6782F">
      <w:pPr>
        <w:pStyle w:val="PlainText"/>
        <w:spacing w:before="0" w:after="0" w:line="276" w:lineRule="auto"/>
        <w:jc w:val="both"/>
        <w:rPr>
          <w:rFonts w:ascii="Arial" w:hAnsi="Arial" w:cs="Arial"/>
          <w:sz w:val="24"/>
          <w:szCs w:val="22"/>
        </w:rPr>
      </w:pPr>
      <w:r w:rsidRPr="00032CF3">
        <w:rPr>
          <w:rFonts w:ascii="Arial" w:hAnsi="Arial" w:cs="Arial"/>
          <w:sz w:val="24"/>
          <w:szCs w:val="22"/>
        </w:rPr>
        <w:t>This approach requires transparency</w:t>
      </w:r>
      <w:r w:rsidR="00F9015F" w:rsidRPr="00032CF3">
        <w:rPr>
          <w:rFonts w:ascii="Arial" w:hAnsi="Arial" w:cs="Arial"/>
          <w:sz w:val="24"/>
          <w:szCs w:val="22"/>
        </w:rPr>
        <w:t xml:space="preserve"> (which is a mandatory requirement under GDPR)</w:t>
      </w:r>
      <w:r w:rsidR="00B86B94">
        <w:rPr>
          <w:rFonts w:ascii="Arial" w:hAnsi="Arial" w:cs="Arial"/>
          <w:sz w:val="24"/>
          <w:szCs w:val="22"/>
        </w:rPr>
        <w:t xml:space="preserve"> </w:t>
      </w:r>
      <w:r w:rsidRPr="00032CF3">
        <w:rPr>
          <w:rFonts w:ascii="Arial" w:hAnsi="Arial" w:cs="Arial"/>
          <w:sz w:val="24"/>
          <w:szCs w:val="22"/>
        </w:rPr>
        <w:t xml:space="preserve">and the need to ensure that patients are as informed as possible: for example, through discussions with clinicians, information leaflets, and comprehensive privacy notices (See Appendix </w:t>
      </w:r>
      <w:r w:rsidR="00741463" w:rsidRPr="00032CF3">
        <w:rPr>
          <w:rFonts w:ascii="Arial" w:hAnsi="Arial" w:cs="Arial"/>
          <w:sz w:val="24"/>
          <w:szCs w:val="22"/>
        </w:rPr>
        <w:t>F</w:t>
      </w:r>
      <w:r w:rsidRPr="00032CF3">
        <w:rPr>
          <w:rFonts w:ascii="Arial" w:hAnsi="Arial" w:cs="Arial"/>
          <w:sz w:val="24"/>
          <w:szCs w:val="22"/>
        </w:rPr>
        <w:t>).</w:t>
      </w:r>
      <w:bookmarkEnd w:id="23"/>
    </w:p>
    <w:p w14:paraId="72FE93C5" w14:textId="6F0C4E70" w:rsidR="008A5915" w:rsidRDefault="008A5915" w:rsidP="00C6782F">
      <w:pPr>
        <w:pStyle w:val="PlainText"/>
        <w:spacing w:before="0" w:after="0" w:line="276" w:lineRule="auto"/>
        <w:jc w:val="both"/>
        <w:rPr>
          <w:rFonts w:ascii="Arial" w:hAnsi="Arial" w:cs="Arial"/>
          <w:sz w:val="24"/>
          <w:szCs w:val="22"/>
        </w:rPr>
      </w:pPr>
    </w:p>
    <w:p w14:paraId="5740B5F9" w14:textId="77777777" w:rsidR="008A5915" w:rsidRPr="00D20491" w:rsidRDefault="008A5915" w:rsidP="00D20491">
      <w:pPr>
        <w:spacing w:before="0" w:after="0" w:line="276" w:lineRule="auto"/>
        <w:jc w:val="both"/>
        <w:rPr>
          <w:rFonts w:ascii="Calibri" w:hAnsi="Calibri"/>
          <w:b/>
          <w:bCs w:val="0"/>
          <w:color w:val="000000" w:themeColor="text1"/>
          <w:szCs w:val="24"/>
        </w:rPr>
      </w:pPr>
      <w:r w:rsidRPr="00D20491">
        <w:rPr>
          <w:b/>
          <w:color w:val="000000" w:themeColor="text1"/>
          <w:szCs w:val="24"/>
        </w:rPr>
        <w:t>De-identification of data</w:t>
      </w:r>
    </w:p>
    <w:p w14:paraId="6891F629" w14:textId="35655CCA" w:rsidR="008A5915" w:rsidRPr="00D20491" w:rsidRDefault="008A5915" w:rsidP="00D20491">
      <w:pPr>
        <w:spacing w:before="0" w:after="0" w:line="276" w:lineRule="auto"/>
        <w:jc w:val="both"/>
        <w:rPr>
          <w:color w:val="000000" w:themeColor="text1"/>
          <w:szCs w:val="24"/>
        </w:rPr>
      </w:pPr>
      <w:r w:rsidRPr="00D20491">
        <w:rPr>
          <w:color w:val="000000" w:themeColor="text1"/>
          <w:szCs w:val="24"/>
        </w:rPr>
        <w:t>When a LHCR requires identifiable data to be processed to render it anonymous they are required to use NHS Digital to process the data for de-identification and therefore can be confident they are meeting legal and technical requirements.</w:t>
      </w:r>
    </w:p>
    <w:p w14:paraId="429D6187" w14:textId="77777777" w:rsidR="008A5915" w:rsidRPr="00D20491" w:rsidRDefault="008A5915" w:rsidP="00D20491">
      <w:pPr>
        <w:spacing w:before="0" w:after="0" w:line="276" w:lineRule="auto"/>
        <w:jc w:val="both"/>
        <w:rPr>
          <w:color w:val="000000" w:themeColor="text1"/>
          <w:szCs w:val="24"/>
        </w:rPr>
      </w:pPr>
    </w:p>
    <w:p w14:paraId="2AB361B2" w14:textId="3025CE3A" w:rsidR="008A5915" w:rsidRPr="00D20491" w:rsidRDefault="008A5915" w:rsidP="00D20491">
      <w:pPr>
        <w:spacing w:before="0" w:after="0" w:line="276" w:lineRule="auto"/>
        <w:jc w:val="both"/>
        <w:rPr>
          <w:color w:val="000000" w:themeColor="text1"/>
          <w:szCs w:val="24"/>
        </w:rPr>
      </w:pPr>
      <w:r w:rsidRPr="00D20491">
        <w:rPr>
          <w:color w:val="000000" w:themeColor="text1"/>
          <w:szCs w:val="24"/>
        </w:rPr>
        <w:t>If organisations are to carry out this type of processing outside of the LCHR programme they should be mindful of how they can meet their legal obligations. While GDPR compliance can be achieved, there are likely to be issues around breaching confidentiality if the confidential patient information is sent to a third party for de-identification. These implications of where identifiable data should and can be processed to ensure it is anonymous are under review.</w:t>
      </w:r>
    </w:p>
    <w:p w14:paraId="3EB7A17C" w14:textId="77777777" w:rsidR="008A5915" w:rsidRPr="00D20491" w:rsidRDefault="008A5915" w:rsidP="00D20491">
      <w:pPr>
        <w:spacing w:before="0" w:after="0" w:line="276" w:lineRule="auto"/>
        <w:jc w:val="both"/>
        <w:rPr>
          <w:color w:val="000000" w:themeColor="text1"/>
          <w:szCs w:val="24"/>
        </w:rPr>
      </w:pPr>
    </w:p>
    <w:p w14:paraId="25BAF840" w14:textId="77777777" w:rsidR="008A5915" w:rsidRPr="00D20491" w:rsidRDefault="008A5915" w:rsidP="00D20491">
      <w:pPr>
        <w:spacing w:before="0" w:after="0" w:line="276" w:lineRule="auto"/>
        <w:jc w:val="both"/>
        <w:rPr>
          <w:b/>
          <w:color w:val="000000" w:themeColor="text1"/>
          <w:szCs w:val="24"/>
        </w:rPr>
      </w:pPr>
      <w:r w:rsidRPr="00D20491">
        <w:rPr>
          <w:b/>
          <w:color w:val="000000" w:themeColor="text1"/>
          <w:szCs w:val="24"/>
        </w:rPr>
        <w:t>Using de-identified data</w:t>
      </w:r>
    </w:p>
    <w:p w14:paraId="767D9910" w14:textId="2F4B2A06" w:rsidR="008A5915" w:rsidRPr="00D20491" w:rsidRDefault="008A5915" w:rsidP="00D20491">
      <w:pPr>
        <w:spacing w:before="0" w:after="0" w:line="276" w:lineRule="auto"/>
        <w:jc w:val="both"/>
        <w:rPr>
          <w:color w:val="000000" w:themeColor="text1"/>
          <w:szCs w:val="24"/>
        </w:rPr>
      </w:pPr>
      <w:r w:rsidRPr="00D20491">
        <w:rPr>
          <w:color w:val="000000" w:themeColor="text1"/>
          <w:szCs w:val="24"/>
        </w:rPr>
        <w:t>Data which has undergone a pseudonymising technique can be dynamic depending upon circumstance and the technical and organisational controls in place.</w:t>
      </w:r>
      <w:r w:rsidR="00D85603" w:rsidRPr="00D20491">
        <w:rPr>
          <w:color w:val="000000" w:themeColor="text1"/>
          <w:szCs w:val="24"/>
        </w:rPr>
        <w:t xml:space="preserve"> </w:t>
      </w:r>
      <w:r w:rsidRPr="00D20491">
        <w:rPr>
          <w:color w:val="000000" w:themeColor="text1"/>
          <w:szCs w:val="24"/>
        </w:rPr>
        <w:t>The factors which will determine the status of the data, and therefore when information will need to be treated in line with legislative frameworks is presently under discussion.</w:t>
      </w:r>
    </w:p>
    <w:p w14:paraId="462A13A7" w14:textId="77777777" w:rsidR="008A5915" w:rsidRPr="00D20491" w:rsidRDefault="008A5915" w:rsidP="00D20491">
      <w:pPr>
        <w:pStyle w:val="PlainText"/>
        <w:spacing w:before="0" w:after="0" w:line="276" w:lineRule="auto"/>
        <w:jc w:val="both"/>
        <w:rPr>
          <w:rFonts w:ascii="Arial" w:hAnsi="Arial" w:cs="Arial"/>
          <w:color w:val="000000" w:themeColor="text1"/>
          <w:sz w:val="24"/>
          <w:szCs w:val="22"/>
        </w:rPr>
      </w:pPr>
    </w:p>
    <w:p w14:paraId="4912D749" w14:textId="2B44F33E" w:rsidR="00F758F8" w:rsidRPr="00D20491" w:rsidRDefault="00F758F8" w:rsidP="00D20491">
      <w:pPr>
        <w:pStyle w:val="PlainText"/>
        <w:spacing w:before="0" w:after="0" w:line="276" w:lineRule="auto"/>
        <w:jc w:val="both"/>
        <w:rPr>
          <w:rFonts w:ascii="Arial" w:hAnsi="Arial" w:cs="Arial"/>
          <w:color w:val="000000" w:themeColor="text1"/>
          <w:sz w:val="24"/>
          <w:szCs w:val="22"/>
        </w:rPr>
      </w:pPr>
      <w:r w:rsidRPr="00D20491">
        <w:rPr>
          <w:rFonts w:ascii="Arial" w:hAnsi="Arial" w:cs="Arial"/>
          <w:color w:val="000000" w:themeColor="text1"/>
          <w:sz w:val="24"/>
          <w:szCs w:val="22"/>
        </w:rPr>
        <w:t>A flowchart covering Confidentiality Requirements has been added to the Tools and Templates</w:t>
      </w:r>
      <w:r w:rsidR="001E3FEB" w:rsidRPr="00D20491">
        <w:rPr>
          <w:rFonts w:ascii="Arial" w:hAnsi="Arial" w:cs="Arial"/>
          <w:color w:val="000000" w:themeColor="text1"/>
          <w:sz w:val="24"/>
          <w:szCs w:val="22"/>
        </w:rPr>
        <w:t xml:space="preserve"> [4.2]</w:t>
      </w:r>
      <w:r w:rsidRPr="00D20491">
        <w:rPr>
          <w:rFonts w:ascii="Arial" w:hAnsi="Arial" w:cs="Arial"/>
          <w:color w:val="000000" w:themeColor="text1"/>
          <w:sz w:val="24"/>
          <w:szCs w:val="22"/>
        </w:rPr>
        <w:t>.</w:t>
      </w:r>
    </w:p>
    <w:p w14:paraId="72D9F4F1" w14:textId="77777777" w:rsidR="00800E45" w:rsidRPr="00032CF3" w:rsidRDefault="00800E45" w:rsidP="00800E45">
      <w:pPr>
        <w:pStyle w:val="PlainText"/>
        <w:spacing w:before="0" w:after="0" w:line="276" w:lineRule="auto"/>
        <w:ind w:left="360"/>
        <w:jc w:val="both"/>
        <w:rPr>
          <w:rFonts w:ascii="Arial" w:hAnsi="Arial" w:cs="Arial"/>
          <w:sz w:val="24"/>
          <w:szCs w:val="22"/>
        </w:rPr>
      </w:pPr>
    </w:p>
    <w:p w14:paraId="2E96B132" w14:textId="77777777" w:rsidR="00A62553" w:rsidRPr="00032CF3" w:rsidRDefault="00130A80" w:rsidP="00130A80">
      <w:pPr>
        <w:pStyle w:val="Heading3"/>
        <w:rPr>
          <w:rFonts w:cs="Arial"/>
        </w:rPr>
      </w:pPr>
      <w:bookmarkStart w:id="25" w:name="_Toc10223055"/>
      <w:r w:rsidRPr="00032CF3">
        <w:rPr>
          <w:rFonts w:cs="Arial"/>
        </w:rPr>
        <w:t>4.2.4</w:t>
      </w:r>
      <w:r w:rsidRPr="00032CF3">
        <w:rPr>
          <w:rFonts w:cs="Arial"/>
        </w:rPr>
        <w:tab/>
      </w:r>
      <w:r w:rsidR="002B57DE" w:rsidRPr="00032CF3">
        <w:rPr>
          <w:rFonts w:cs="Arial"/>
        </w:rPr>
        <w:t xml:space="preserve">Meeting </w:t>
      </w:r>
      <w:r w:rsidR="00141515" w:rsidRPr="00032CF3">
        <w:rPr>
          <w:rFonts w:cs="Arial"/>
        </w:rPr>
        <w:t>the Human Rights Act obligations</w:t>
      </w:r>
      <w:bookmarkEnd w:id="25"/>
      <w:r w:rsidR="00141515" w:rsidRPr="00032CF3">
        <w:rPr>
          <w:rFonts w:cs="Arial"/>
        </w:rPr>
        <w:t xml:space="preserve"> </w:t>
      </w:r>
    </w:p>
    <w:p w14:paraId="66189784" w14:textId="77777777" w:rsidR="00DB2CB2" w:rsidRPr="00032CF3" w:rsidRDefault="00DA2282" w:rsidP="00241D06">
      <w:pPr>
        <w:spacing w:before="0" w:after="0" w:line="276" w:lineRule="auto"/>
        <w:jc w:val="both"/>
        <w:rPr>
          <w:rFonts w:cs="Arial"/>
          <w:szCs w:val="24"/>
        </w:rPr>
      </w:pPr>
      <w:r w:rsidRPr="00032CF3">
        <w:rPr>
          <w:rFonts w:cs="Arial"/>
          <w:szCs w:val="24"/>
        </w:rPr>
        <w:t xml:space="preserve">Article 8 </w:t>
      </w:r>
      <w:r w:rsidR="00FA6027" w:rsidRPr="00032CF3">
        <w:rPr>
          <w:rFonts w:cs="Arial"/>
          <w:szCs w:val="24"/>
        </w:rPr>
        <w:t xml:space="preserve">of the Human Rights Act gives individuals a right to respect for their </w:t>
      </w:r>
      <w:r w:rsidR="004A2B0C" w:rsidRPr="00032CF3">
        <w:rPr>
          <w:rFonts w:cs="Arial"/>
          <w:szCs w:val="24"/>
        </w:rPr>
        <w:t xml:space="preserve">private and family life. </w:t>
      </w:r>
      <w:r w:rsidR="00A32AE6" w:rsidRPr="00032CF3">
        <w:rPr>
          <w:rFonts w:cs="Arial"/>
          <w:szCs w:val="24"/>
        </w:rPr>
        <w:t>However,</w:t>
      </w:r>
      <w:r w:rsidR="004A2B0C" w:rsidRPr="00032CF3">
        <w:rPr>
          <w:rFonts w:cs="Arial"/>
          <w:szCs w:val="24"/>
        </w:rPr>
        <w:t xml:space="preserve"> this does </w:t>
      </w:r>
      <w:r w:rsidR="005A30FA" w:rsidRPr="00032CF3">
        <w:rPr>
          <w:rFonts w:cs="Arial"/>
          <w:szCs w:val="24"/>
        </w:rPr>
        <w:t>not</w:t>
      </w:r>
      <w:r w:rsidR="004A2B0C" w:rsidRPr="00032CF3">
        <w:rPr>
          <w:rFonts w:cs="Arial"/>
          <w:szCs w:val="24"/>
        </w:rPr>
        <w:t xml:space="preserve"> make it unlawful </w:t>
      </w:r>
      <w:r w:rsidR="005A30FA" w:rsidRPr="00032CF3">
        <w:rPr>
          <w:rFonts w:cs="Arial"/>
          <w:szCs w:val="24"/>
        </w:rPr>
        <w:t xml:space="preserve">for organisations to process personal </w:t>
      </w:r>
      <w:r w:rsidR="00C105EB" w:rsidRPr="00032CF3">
        <w:rPr>
          <w:rFonts w:cs="Arial"/>
          <w:szCs w:val="24"/>
        </w:rPr>
        <w:t>data</w:t>
      </w:r>
      <w:r w:rsidR="005A30FA" w:rsidRPr="00032CF3">
        <w:rPr>
          <w:rFonts w:cs="Arial"/>
          <w:szCs w:val="24"/>
        </w:rPr>
        <w:t xml:space="preserve"> whe</w:t>
      </w:r>
      <w:r w:rsidR="009B2C6F" w:rsidRPr="00032CF3">
        <w:rPr>
          <w:rFonts w:cs="Arial"/>
          <w:szCs w:val="24"/>
        </w:rPr>
        <w:t xml:space="preserve">re there is otherwise a lawful basis to do so. </w:t>
      </w:r>
      <w:r w:rsidR="00F150D5" w:rsidRPr="00032CF3">
        <w:rPr>
          <w:rFonts w:cs="Arial"/>
          <w:szCs w:val="24"/>
        </w:rPr>
        <w:t>If yo</w:t>
      </w:r>
      <w:r w:rsidR="00D4065D" w:rsidRPr="00032CF3">
        <w:rPr>
          <w:rFonts w:cs="Arial"/>
          <w:szCs w:val="24"/>
        </w:rPr>
        <w:t xml:space="preserve">u </w:t>
      </w:r>
      <w:r w:rsidR="00191DE9" w:rsidRPr="00032CF3">
        <w:rPr>
          <w:rFonts w:cs="Arial"/>
          <w:szCs w:val="24"/>
        </w:rPr>
        <w:t>are a public</w:t>
      </w:r>
      <w:r w:rsidR="00F70C71" w:rsidRPr="00032CF3">
        <w:rPr>
          <w:rFonts w:cs="Arial"/>
          <w:szCs w:val="24"/>
        </w:rPr>
        <w:t xml:space="preserve"> authority</w:t>
      </w:r>
      <w:r w:rsidR="00D4065D" w:rsidRPr="00032CF3">
        <w:rPr>
          <w:rFonts w:cs="Arial"/>
          <w:szCs w:val="24"/>
        </w:rPr>
        <w:t xml:space="preserve"> </w:t>
      </w:r>
      <w:r w:rsidR="00DB2CB2" w:rsidRPr="00032CF3">
        <w:rPr>
          <w:rFonts w:cs="Arial"/>
          <w:szCs w:val="24"/>
        </w:rPr>
        <w:t xml:space="preserve">abiding by </w:t>
      </w:r>
      <w:r w:rsidR="00C105EB" w:rsidRPr="00032CF3">
        <w:rPr>
          <w:rFonts w:cs="Arial"/>
          <w:szCs w:val="24"/>
        </w:rPr>
        <w:t>GDPR</w:t>
      </w:r>
      <w:r w:rsidR="00DB2CB2" w:rsidRPr="00032CF3">
        <w:rPr>
          <w:rFonts w:cs="Arial"/>
          <w:szCs w:val="24"/>
        </w:rPr>
        <w:t xml:space="preserve"> </w:t>
      </w:r>
      <w:r w:rsidR="00F9015F" w:rsidRPr="00032CF3">
        <w:rPr>
          <w:rFonts w:cs="Arial"/>
          <w:szCs w:val="24"/>
        </w:rPr>
        <w:t xml:space="preserve">and the Duty of Confidence relating to </w:t>
      </w:r>
      <w:r w:rsidR="00E85DBD">
        <w:rPr>
          <w:rFonts w:cs="Arial"/>
          <w:szCs w:val="24"/>
        </w:rPr>
        <w:t>c</w:t>
      </w:r>
      <w:r w:rsidR="00F9015F" w:rsidRPr="00032CF3">
        <w:rPr>
          <w:rFonts w:cs="Arial"/>
          <w:szCs w:val="24"/>
        </w:rPr>
        <w:t xml:space="preserve">onfidential </w:t>
      </w:r>
      <w:r w:rsidR="00E85DBD">
        <w:rPr>
          <w:rFonts w:cs="Arial"/>
          <w:szCs w:val="24"/>
        </w:rPr>
        <w:t>p</w:t>
      </w:r>
      <w:r w:rsidR="00F9015F" w:rsidRPr="00032CF3">
        <w:rPr>
          <w:rFonts w:cs="Arial"/>
          <w:szCs w:val="24"/>
        </w:rPr>
        <w:t xml:space="preserve">atient </w:t>
      </w:r>
      <w:r w:rsidR="00E85DBD">
        <w:rPr>
          <w:rFonts w:cs="Arial"/>
          <w:szCs w:val="24"/>
        </w:rPr>
        <w:t>i</w:t>
      </w:r>
      <w:r w:rsidR="00F9015F" w:rsidRPr="00032CF3">
        <w:rPr>
          <w:rFonts w:cs="Arial"/>
          <w:szCs w:val="24"/>
        </w:rPr>
        <w:t xml:space="preserve">nformation, </w:t>
      </w:r>
      <w:r w:rsidR="00D4065D" w:rsidRPr="00032CF3">
        <w:rPr>
          <w:rFonts w:cs="Arial"/>
          <w:szCs w:val="24"/>
        </w:rPr>
        <w:t>then</w:t>
      </w:r>
      <w:r w:rsidR="003C70D6" w:rsidRPr="00032CF3">
        <w:rPr>
          <w:rFonts w:cs="Arial"/>
          <w:szCs w:val="24"/>
        </w:rPr>
        <w:t xml:space="preserve"> it is </w:t>
      </w:r>
      <w:r w:rsidR="00D4065D" w:rsidRPr="00032CF3">
        <w:rPr>
          <w:rFonts w:cs="Arial"/>
          <w:szCs w:val="24"/>
        </w:rPr>
        <w:t xml:space="preserve">likely </w:t>
      </w:r>
      <w:r w:rsidR="009B43C7" w:rsidRPr="00032CF3">
        <w:rPr>
          <w:rFonts w:cs="Arial"/>
          <w:szCs w:val="24"/>
        </w:rPr>
        <w:t>you will meet your Human Rights A</w:t>
      </w:r>
      <w:r w:rsidR="00FD522D" w:rsidRPr="00032CF3">
        <w:rPr>
          <w:rFonts w:cs="Arial"/>
          <w:szCs w:val="24"/>
        </w:rPr>
        <w:t>ct obligations</w:t>
      </w:r>
      <w:r w:rsidR="00DB2CB2" w:rsidRPr="00032CF3">
        <w:rPr>
          <w:rFonts w:cs="Arial"/>
          <w:szCs w:val="24"/>
        </w:rPr>
        <w:t xml:space="preserve"> </w:t>
      </w:r>
      <w:r w:rsidR="007F494F" w:rsidRPr="00032CF3">
        <w:rPr>
          <w:rFonts w:cs="Arial"/>
          <w:szCs w:val="24"/>
        </w:rPr>
        <w:t xml:space="preserve">as GDPR’s overarching aim </w:t>
      </w:r>
      <w:r w:rsidR="00DB2CB2" w:rsidRPr="00032CF3">
        <w:rPr>
          <w:rFonts w:cs="Arial"/>
          <w:szCs w:val="24"/>
        </w:rPr>
        <w:t>is the protection of the rights and freedoms of individuals where it concerns the handling of their personal data.</w:t>
      </w:r>
      <w:r w:rsidR="00AD23E8" w:rsidRPr="00032CF3">
        <w:rPr>
          <w:rFonts w:cs="Arial"/>
          <w:szCs w:val="24"/>
        </w:rPr>
        <w:t xml:space="preserve"> However, it will be important to ensure that any information sharing is necessary for the specified purpose AND proportionate.</w:t>
      </w:r>
    </w:p>
    <w:p w14:paraId="58798050" w14:textId="77777777" w:rsidR="002F2B0F" w:rsidRPr="00032CF3" w:rsidRDefault="002F2B0F" w:rsidP="00241D06">
      <w:pPr>
        <w:spacing w:before="0" w:after="0" w:line="276" w:lineRule="auto"/>
        <w:jc w:val="both"/>
        <w:rPr>
          <w:rFonts w:cs="Arial"/>
          <w:szCs w:val="24"/>
        </w:rPr>
      </w:pPr>
    </w:p>
    <w:p w14:paraId="483C6357" w14:textId="77777777" w:rsidR="00C105EB" w:rsidRPr="00032CF3" w:rsidRDefault="00C105EB" w:rsidP="00241D06">
      <w:pPr>
        <w:spacing w:before="0" w:after="0" w:line="276" w:lineRule="auto"/>
        <w:jc w:val="both"/>
        <w:rPr>
          <w:rFonts w:cs="Arial"/>
          <w:szCs w:val="24"/>
        </w:rPr>
      </w:pPr>
      <w:r w:rsidRPr="00032CF3">
        <w:rPr>
          <w:rFonts w:cs="Arial"/>
          <w:szCs w:val="24"/>
        </w:rPr>
        <w:t xml:space="preserve">A Data Protection Impact Assessment (DPIA) must be completed at an early stage to identify any risks to the processing of personal data.  For further information regarding DPIA see section 4.9.2. </w:t>
      </w:r>
    </w:p>
    <w:p w14:paraId="4FBBD81F" w14:textId="77777777" w:rsidR="0032286B" w:rsidRPr="00032CF3" w:rsidRDefault="0032286B" w:rsidP="00241D06">
      <w:pPr>
        <w:spacing w:before="0" w:after="0" w:line="276" w:lineRule="auto"/>
        <w:jc w:val="both"/>
        <w:rPr>
          <w:rFonts w:cs="Arial"/>
          <w:szCs w:val="24"/>
        </w:rPr>
      </w:pPr>
    </w:p>
    <w:p w14:paraId="745EFD18" w14:textId="77777777" w:rsidR="004A26BB" w:rsidRPr="00032CF3" w:rsidRDefault="004A26BB" w:rsidP="00241D06">
      <w:pPr>
        <w:pStyle w:val="PlainText"/>
        <w:spacing w:before="0" w:after="0" w:line="276" w:lineRule="auto"/>
        <w:jc w:val="both"/>
        <w:rPr>
          <w:rFonts w:ascii="Arial" w:hAnsi="Arial" w:cs="Arial"/>
          <w:color w:val="000000" w:themeColor="text1"/>
          <w:sz w:val="24"/>
          <w:szCs w:val="24"/>
        </w:rPr>
      </w:pPr>
      <w:r w:rsidRPr="00032CF3">
        <w:rPr>
          <w:rFonts w:ascii="Arial" w:hAnsi="Arial" w:cs="Arial"/>
          <w:color w:val="000000" w:themeColor="text1"/>
          <w:sz w:val="24"/>
          <w:szCs w:val="24"/>
        </w:rPr>
        <w:t xml:space="preserve">While many patients and service users are supportive of activities such as clinical research, disease registration and service planning it is wrong to assume that they would be content for </w:t>
      </w:r>
      <w:r w:rsidR="00E85DBD">
        <w:rPr>
          <w:rFonts w:ascii="Arial" w:hAnsi="Arial" w:cs="Arial"/>
          <w:color w:val="000000" w:themeColor="text1"/>
          <w:sz w:val="24"/>
          <w:szCs w:val="24"/>
        </w:rPr>
        <w:t>personal/</w:t>
      </w:r>
      <w:r w:rsidRPr="00032CF3">
        <w:rPr>
          <w:rFonts w:ascii="Arial" w:hAnsi="Arial" w:cs="Arial"/>
          <w:color w:val="000000" w:themeColor="text1"/>
          <w:sz w:val="24"/>
          <w:szCs w:val="24"/>
        </w:rPr>
        <w:t xml:space="preserve">confidential patient information to be shared for these purposes without their explicit consent or another legal basis.  Relying on implied consent for using or sharing </w:t>
      </w:r>
      <w:r w:rsidR="00E85DBD">
        <w:rPr>
          <w:rFonts w:ascii="Arial" w:hAnsi="Arial" w:cs="Arial"/>
          <w:color w:val="000000" w:themeColor="text1"/>
          <w:sz w:val="24"/>
          <w:szCs w:val="24"/>
        </w:rPr>
        <w:t>personal/</w:t>
      </w:r>
      <w:r w:rsidRPr="00032CF3">
        <w:rPr>
          <w:rFonts w:ascii="Arial" w:hAnsi="Arial" w:cs="Arial"/>
          <w:color w:val="000000" w:themeColor="text1"/>
          <w:sz w:val="24"/>
          <w:szCs w:val="24"/>
        </w:rPr>
        <w:t xml:space="preserve">confidential patient information for secondary purposes such as these goes beyond the </w:t>
      </w:r>
      <w:r w:rsidRPr="00032CF3">
        <w:rPr>
          <w:rFonts w:ascii="Arial" w:hAnsi="Arial" w:cs="Arial"/>
          <w:i/>
          <w:iCs/>
          <w:color w:val="000000" w:themeColor="text1"/>
          <w:sz w:val="24"/>
          <w:szCs w:val="24"/>
        </w:rPr>
        <w:t xml:space="preserve">reasonable expectations </w:t>
      </w:r>
      <w:r w:rsidRPr="00032CF3">
        <w:rPr>
          <w:rFonts w:ascii="Arial" w:hAnsi="Arial" w:cs="Arial"/>
          <w:color w:val="000000" w:themeColor="text1"/>
          <w:sz w:val="24"/>
          <w:szCs w:val="24"/>
        </w:rPr>
        <w:t xml:space="preserve">of patients and service users.  Even where a patient or service user has previously given their explicit consent for </w:t>
      </w:r>
      <w:r w:rsidR="00E85DBD">
        <w:rPr>
          <w:rFonts w:ascii="Arial" w:hAnsi="Arial" w:cs="Arial"/>
          <w:color w:val="000000" w:themeColor="text1"/>
          <w:sz w:val="24"/>
          <w:szCs w:val="24"/>
        </w:rPr>
        <w:t>personal/</w:t>
      </w:r>
      <w:r w:rsidRPr="00032CF3">
        <w:rPr>
          <w:rFonts w:ascii="Arial" w:hAnsi="Arial" w:cs="Arial"/>
          <w:color w:val="000000" w:themeColor="text1"/>
          <w:sz w:val="24"/>
          <w:szCs w:val="24"/>
        </w:rPr>
        <w:t xml:space="preserve">confidential patient information to be disclosed to a researcher, it would be wrong to assume that they would be content for their information to be disclosed on a second occasion (e.g. a patient who consented to participating in a cancer research study might not give their permission for </w:t>
      </w:r>
      <w:r w:rsidR="00E85DBD">
        <w:rPr>
          <w:rFonts w:ascii="Arial" w:hAnsi="Arial" w:cs="Arial"/>
          <w:color w:val="000000" w:themeColor="text1"/>
          <w:sz w:val="24"/>
          <w:szCs w:val="24"/>
        </w:rPr>
        <w:t>personal/</w:t>
      </w:r>
      <w:r w:rsidRPr="00032CF3">
        <w:rPr>
          <w:rFonts w:ascii="Arial" w:hAnsi="Arial" w:cs="Arial"/>
          <w:color w:val="000000" w:themeColor="text1"/>
          <w:sz w:val="24"/>
          <w:szCs w:val="24"/>
        </w:rPr>
        <w:t xml:space="preserve">confidential </w:t>
      </w:r>
      <w:r w:rsidR="00E85DBD">
        <w:rPr>
          <w:rFonts w:ascii="Arial" w:hAnsi="Arial" w:cs="Arial"/>
          <w:color w:val="000000" w:themeColor="text1"/>
          <w:sz w:val="24"/>
          <w:szCs w:val="24"/>
        </w:rPr>
        <w:t xml:space="preserve">patient </w:t>
      </w:r>
      <w:r w:rsidRPr="00032CF3">
        <w:rPr>
          <w:rFonts w:ascii="Arial" w:hAnsi="Arial" w:cs="Arial"/>
          <w:color w:val="000000" w:themeColor="text1"/>
          <w:sz w:val="24"/>
          <w:szCs w:val="24"/>
        </w:rPr>
        <w:t xml:space="preserve">information to be disclosed for research into mental illness; or a service user who consented to </w:t>
      </w:r>
      <w:r w:rsidR="00E85DBD">
        <w:rPr>
          <w:rFonts w:ascii="Arial" w:hAnsi="Arial" w:cs="Arial"/>
          <w:color w:val="000000" w:themeColor="text1"/>
          <w:sz w:val="24"/>
          <w:szCs w:val="24"/>
        </w:rPr>
        <w:t>personal/</w:t>
      </w:r>
      <w:r w:rsidRPr="00032CF3">
        <w:rPr>
          <w:rFonts w:ascii="Arial" w:hAnsi="Arial" w:cs="Arial"/>
          <w:color w:val="000000" w:themeColor="text1"/>
          <w:sz w:val="24"/>
          <w:szCs w:val="24"/>
        </w:rPr>
        <w:t xml:space="preserve">confidential patient information being disclosed to a </w:t>
      </w:r>
      <w:r w:rsidRPr="00032CF3">
        <w:rPr>
          <w:rFonts w:ascii="Arial" w:hAnsi="Arial" w:cs="Arial"/>
          <w:color w:val="000000" w:themeColor="text1"/>
          <w:sz w:val="24"/>
          <w:szCs w:val="24"/>
        </w:rPr>
        <w:lastRenderedPageBreak/>
        <w:t>national quality assurance audit might object to the same information being disclosed to a local authority conducting a review into how it organises social care services).</w:t>
      </w:r>
    </w:p>
    <w:p w14:paraId="7B2067C5" w14:textId="77777777" w:rsidR="00677A0D" w:rsidRPr="00032CF3" w:rsidRDefault="00677A0D" w:rsidP="002F2B0F">
      <w:pPr>
        <w:spacing w:before="0" w:after="0" w:line="276" w:lineRule="auto"/>
        <w:rPr>
          <w:rFonts w:cs="Arial"/>
          <w:color w:val="808080" w:themeColor="background1" w:themeShade="80"/>
          <w:szCs w:val="24"/>
        </w:rPr>
      </w:pPr>
    </w:p>
    <w:tbl>
      <w:tblPr>
        <w:tblStyle w:val="TableElegant"/>
        <w:tblpPr w:leftFromText="180" w:rightFromText="180" w:vertAnchor="text" w:horzAnchor="margin" w:tblpY="118"/>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760"/>
      </w:tblGrid>
      <w:tr w:rsidR="00013601" w:rsidRPr="008C24A7" w14:paraId="5C0C9405" w14:textId="77777777" w:rsidTr="008C1D91">
        <w:trPr>
          <w:cnfStyle w:val="100000000000" w:firstRow="1" w:lastRow="0" w:firstColumn="0" w:lastColumn="0" w:oddVBand="0" w:evenVBand="0" w:oddHBand="0" w:evenHBand="0" w:firstRowFirstColumn="0" w:firstRowLastColumn="0" w:lastRowFirstColumn="0" w:lastRowLastColumn="0"/>
        </w:trPr>
        <w:tc>
          <w:tcPr>
            <w:tcW w:w="9760" w:type="dxa"/>
            <w:shd w:val="clear" w:color="auto" w:fill="F2F2F2" w:themeFill="background1" w:themeFillShade="F2"/>
          </w:tcPr>
          <w:p w14:paraId="2539D9B1" w14:textId="77777777" w:rsidR="008C1D91" w:rsidRPr="008C24A7" w:rsidRDefault="008C1D91" w:rsidP="008C1D91">
            <w:pPr>
              <w:spacing w:before="0" w:after="0" w:line="276" w:lineRule="auto"/>
              <w:rPr>
                <w:rFonts w:cs="Arial"/>
                <w:b/>
                <w:caps w:val="0"/>
                <w:szCs w:val="24"/>
              </w:rPr>
            </w:pPr>
            <w:r w:rsidRPr="008C24A7">
              <w:rPr>
                <w:rFonts w:cs="Arial"/>
                <w:b/>
                <w:caps w:val="0"/>
                <w:szCs w:val="24"/>
              </w:rPr>
              <w:t>Assurance checkpoints</w:t>
            </w:r>
          </w:p>
          <w:p w14:paraId="37612F25" w14:textId="77777777" w:rsidR="008C1D91" w:rsidRPr="008C24A7" w:rsidRDefault="008C1D91"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A statement, for each of the organisations involved in the collective sharing, setting out; </w:t>
            </w:r>
          </w:p>
          <w:p w14:paraId="265A8219" w14:textId="77777777" w:rsidR="008C1D91" w:rsidRPr="008C24A7" w:rsidRDefault="008C1D91"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purpose</w:t>
            </w:r>
          </w:p>
          <w:p w14:paraId="793DC2E2" w14:textId="77777777" w:rsidR="008C1D91" w:rsidRPr="008C24A7" w:rsidRDefault="008C1D91"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 xml:space="preserve">lawful basis for processing </w:t>
            </w:r>
          </w:p>
          <w:p w14:paraId="516A5515" w14:textId="77777777" w:rsidR="008C1D91" w:rsidRPr="008C24A7" w:rsidRDefault="008C1D91"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duty of confidence satisfied</w:t>
            </w:r>
          </w:p>
          <w:p w14:paraId="774EDF91" w14:textId="77777777" w:rsidR="008C1D91" w:rsidRPr="008C24A7" w:rsidRDefault="004151D4" w:rsidP="00962AE5">
            <w:pPr>
              <w:pStyle w:val="ListParagraph"/>
              <w:numPr>
                <w:ilvl w:val="0"/>
                <w:numId w:val="14"/>
              </w:numPr>
              <w:autoSpaceDN w:val="0"/>
              <w:spacing w:before="0" w:after="0" w:line="276" w:lineRule="auto"/>
              <w:ind w:left="445"/>
              <w:rPr>
                <w:rFonts w:ascii="Arial" w:hAnsi="Arial"/>
                <w:caps w:val="0"/>
                <w:sz w:val="24"/>
                <w:szCs w:val="24"/>
              </w:rPr>
            </w:pPr>
            <w:r w:rsidRPr="008C24A7">
              <w:rPr>
                <w:rFonts w:ascii="Arial" w:hAnsi="Arial"/>
                <w:caps w:val="0"/>
                <w:sz w:val="24"/>
                <w:szCs w:val="24"/>
              </w:rPr>
              <w:t xml:space="preserve">LHCR will have a </w:t>
            </w:r>
            <w:r w:rsidR="00224D2F" w:rsidRPr="008C24A7">
              <w:rPr>
                <w:rFonts w:ascii="Arial" w:hAnsi="Arial"/>
                <w:caps w:val="0"/>
                <w:sz w:val="24"/>
                <w:szCs w:val="24"/>
              </w:rPr>
              <w:t>P</w:t>
            </w:r>
            <w:r w:rsidR="008C1D91" w:rsidRPr="008C24A7">
              <w:rPr>
                <w:rFonts w:ascii="Arial" w:hAnsi="Arial"/>
                <w:caps w:val="0"/>
                <w:sz w:val="24"/>
                <w:szCs w:val="24"/>
              </w:rPr>
              <w:t>rivacy notice</w:t>
            </w:r>
            <w:r w:rsidRPr="008C24A7">
              <w:rPr>
                <w:rFonts w:ascii="Arial" w:hAnsi="Arial"/>
                <w:caps w:val="0"/>
                <w:sz w:val="24"/>
                <w:szCs w:val="24"/>
              </w:rPr>
              <w:t xml:space="preserve"> stating what data is collected, stored, shared and retained and for how long. The Privacy Notice must also include information on patient preferences</w:t>
            </w:r>
          </w:p>
          <w:p w14:paraId="27E3AED2" w14:textId="77777777" w:rsidR="000539E6" w:rsidRPr="008C24A7" w:rsidRDefault="00141515"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Agreed approach </w:t>
            </w:r>
            <w:r w:rsidR="004151D4" w:rsidRPr="008C24A7">
              <w:rPr>
                <w:rFonts w:ascii="Arial" w:hAnsi="Arial"/>
                <w:caps w:val="0"/>
                <w:sz w:val="24"/>
                <w:szCs w:val="24"/>
              </w:rPr>
              <w:t xml:space="preserve">across each LHCR </w:t>
            </w:r>
            <w:r w:rsidR="00712AB1" w:rsidRPr="008C24A7">
              <w:rPr>
                <w:rFonts w:ascii="Arial" w:hAnsi="Arial"/>
                <w:caps w:val="0"/>
                <w:sz w:val="24"/>
                <w:szCs w:val="24"/>
              </w:rPr>
              <w:t>to deal with</w:t>
            </w:r>
            <w:r w:rsidRPr="008C24A7">
              <w:rPr>
                <w:rFonts w:ascii="Arial" w:hAnsi="Arial"/>
                <w:caps w:val="0"/>
                <w:sz w:val="24"/>
                <w:szCs w:val="24"/>
              </w:rPr>
              <w:t xml:space="preserve"> patient</w:t>
            </w:r>
            <w:r w:rsidR="00CD0F6D" w:rsidRPr="008C24A7">
              <w:rPr>
                <w:rFonts w:ascii="Arial" w:hAnsi="Arial"/>
                <w:caps w:val="0"/>
                <w:sz w:val="24"/>
                <w:szCs w:val="24"/>
              </w:rPr>
              <w:t>s</w:t>
            </w:r>
            <w:r w:rsidRPr="008C24A7">
              <w:rPr>
                <w:rFonts w:ascii="Arial" w:hAnsi="Arial"/>
                <w:caps w:val="0"/>
                <w:sz w:val="24"/>
                <w:szCs w:val="24"/>
              </w:rPr>
              <w:t xml:space="preserve"> </w:t>
            </w:r>
            <w:r w:rsidR="00CD0F6D" w:rsidRPr="008C24A7">
              <w:rPr>
                <w:rFonts w:ascii="Arial" w:hAnsi="Arial"/>
                <w:caps w:val="0"/>
                <w:sz w:val="24"/>
                <w:szCs w:val="24"/>
              </w:rPr>
              <w:t xml:space="preserve">who object </w:t>
            </w:r>
            <w:r w:rsidRPr="008C24A7">
              <w:rPr>
                <w:rFonts w:ascii="Arial" w:hAnsi="Arial"/>
                <w:caps w:val="0"/>
                <w:sz w:val="24"/>
                <w:szCs w:val="24"/>
              </w:rPr>
              <w:t xml:space="preserve">to </w:t>
            </w:r>
            <w:r w:rsidR="00CD0F6D" w:rsidRPr="008C24A7">
              <w:rPr>
                <w:rFonts w:ascii="Arial" w:hAnsi="Arial"/>
                <w:caps w:val="0"/>
                <w:sz w:val="24"/>
                <w:szCs w:val="24"/>
              </w:rPr>
              <w:t xml:space="preserve">the sharing of </w:t>
            </w:r>
            <w:r w:rsidRPr="008C24A7">
              <w:rPr>
                <w:rFonts w:ascii="Arial" w:hAnsi="Arial"/>
                <w:caps w:val="0"/>
                <w:sz w:val="24"/>
                <w:szCs w:val="24"/>
              </w:rPr>
              <w:t xml:space="preserve">their data for </w:t>
            </w:r>
            <w:r w:rsidR="00CD0F6D" w:rsidRPr="008C24A7">
              <w:rPr>
                <w:rFonts w:ascii="Arial" w:hAnsi="Arial"/>
                <w:caps w:val="0"/>
                <w:sz w:val="24"/>
                <w:szCs w:val="24"/>
              </w:rPr>
              <w:t xml:space="preserve">to support their </w:t>
            </w:r>
            <w:r w:rsidRPr="008C24A7">
              <w:rPr>
                <w:rFonts w:ascii="Arial" w:hAnsi="Arial"/>
                <w:caps w:val="0"/>
                <w:sz w:val="24"/>
                <w:szCs w:val="24"/>
              </w:rPr>
              <w:t>individual care</w:t>
            </w:r>
          </w:p>
          <w:p w14:paraId="64B66C8D" w14:textId="77777777" w:rsidR="004151D4" w:rsidRPr="008C24A7" w:rsidRDefault="004151D4"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Evidence </w:t>
            </w:r>
            <w:r w:rsidR="006C0E28" w:rsidRPr="008C24A7">
              <w:rPr>
                <w:rFonts w:ascii="Arial" w:hAnsi="Arial"/>
                <w:caps w:val="0"/>
                <w:sz w:val="24"/>
                <w:szCs w:val="24"/>
              </w:rPr>
              <w:t>of effective</w:t>
            </w:r>
            <w:r w:rsidRPr="008C24A7">
              <w:rPr>
                <w:rFonts w:ascii="Arial" w:hAnsi="Arial"/>
                <w:caps w:val="0"/>
                <w:sz w:val="24"/>
                <w:szCs w:val="24"/>
              </w:rPr>
              <w:t xml:space="preserve"> Role Based Access Control (RBAC) </w:t>
            </w:r>
          </w:p>
          <w:p w14:paraId="456F5B41" w14:textId="77777777" w:rsidR="008C1D91" w:rsidRPr="008C24A7" w:rsidRDefault="004151D4"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Evidence of completed DPIA for each data sharing purpose</w:t>
            </w:r>
          </w:p>
        </w:tc>
      </w:tr>
    </w:tbl>
    <w:p w14:paraId="699761A0" w14:textId="77777777" w:rsidR="00550118" w:rsidRPr="00032CF3" w:rsidRDefault="00550118" w:rsidP="008B6903">
      <w:pPr>
        <w:pStyle w:val="Heading3"/>
        <w:rPr>
          <w:rFonts w:cs="Arial"/>
        </w:rPr>
      </w:pPr>
    </w:p>
    <w:p w14:paraId="6F8920D9" w14:textId="77777777" w:rsidR="0080409F" w:rsidRPr="00032CF3" w:rsidRDefault="001426AF" w:rsidP="008B6903">
      <w:pPr>
        <w:pStyle w:val="Heading3"/>
        <w:rPr>
          <w:rFonts w:cs="Arial"/>
        </w:rPr>
      </w:pPr>
      <w:bookmarkStart w:id="26" w:name="_Toc10223056"/>
      <w:r w:rsidRPr="00032CF3">
        <w:rPr>
          <w:rFonts w:cs="Arial"/>
        </w:rPr>
        <w:t>4.2.</w:t>
      </w:r>
      <w:r w:rsidR="00130A80" w:rsidRPr="00032CF3">
        <w:rPr>
          <w:rFonts w:cs="Arial"/>
        </w:rPr>
        <w:t>5</w:t>
      </w:r>
      <w:r w:rsidR="00130A80" w:rsidRPr="00032CF3">
        <w:rPr>
          <w:rFonts w:cs="Arial"/>
        </w:rPr>
        <w:tab/>
      </w:r>
      <w:r w:rsidR="00E46641" w:rsidRPr="00032CF3">
        <w:rPr>
          <w:rFonts w:cs="Arial"/>
        </w:rPr>
        <w:t>The Duty of Transparency</w:t>
      </w:r>
      <w:bookmarkEnd w:id="26"/>
    </w:p>
    <w:p w14:paraId="7ABE09FB" w14:textId="77777777" w:rsidR="0080409F" w:rsidRPr="00032CF3" w:rsidRDefault="00B9576C" w:rsidP="0080409F">
      <w:pPr>
        <w:spacing w:before="0" w:after="0" w:line="276" w:lineRule="auto"/>
        <w:jc w:val="both"/>
        <w:rPr>
          <w:rFonts w:cs="Arial"/>
          <w:szCs w:val="24"/>
          <w:lang w:val="en-US" w:eastAsia="en-GB"/>
        </w:rPr>
      </w:pPr>
      <w:r w:rsidRPr="00032CF3">
        <w:rPr>
          <w:rFonts w:cs="Arial"/>
          <w:szCs w:val="24"/>
          <w:lang w:val="en-US" w:eastAsia="en-GB"/>
        </w:rPr>
        <w:t>The</w:t>
      </w:r>
      <w:r w:rsidR="0080409F" w:rsidRPr="00032CF3">
        <w:rPr>
          <w:rFonts w:cs="Arial"/>
          <w:szCs w:val="24"/>
          <w:lang w:val="en-US" w:eastAsia="en-GB"/>
        </w:rPr>
        <w:t xml:space="preserve"> duty of transparency is one of the ways we can build trust and gain the respect of the p</w:t>
      </w:r>
      <w:r w:rsidR="001426AF" w:rsidRPr="00032CF3">
        <w:rPr>
          <w:rFonts w:cs="Arial"/>
          <w:szCs w:val="24"/>
          <w:lang w:val="en-US" w:eastAsia="en-GB"/>
        </w:rPr>
        <w:t xml:space="preserve">ublic in the use of their data.  </w:t>
      </w:r>
      <w:r w:rsidRPr="00032CF3">
        <w:rPr>
          <w:rFonts w:cs="Arial"/>
          <w:szCs w:val="24"/>
          <w:lang w:val="en-US" w:eastAsia="en-GB"/>
        </w:rPr>
        <w:t>A new requirement of the GDPR is the p</w:t>
      </w:r>
      <w:r w:rsidR="001426AF" w:rsidRPr="00032CF3">
        <w:rPr>
          <w:rFonts w:cs="Arial"/>
          <w:szCs w:val="24"/>
          <w:lang w:val="en-US" w:eastAsia="en-GB"/>
        </w:rPr>
        <w:t xml:space="preserve">rinciple of </w:t>
      </w:r>
      <w:r w:rsidR="001426AF" w:rsidRPr="00032CF3">
        <w:rPr>
          <w:rFonts w:cs="Arial"/>
          <w:i/>
          <w:szCs w:val="24"/>
          <w:lang w:val="en-US" w:eastAsia="en-GB"/>
        </w:rPr>
        <w:t>accountability</w:t>
      </w:r>
      <w:r w:rsidR="00C803BA" w:rsidRPr="00032CF3">
        <w:rPr>
          <w:rFonts w:cs="Arial"/>
          <w:szCs w:val="24"/>
          <w:lang w:val="en-US" w:eastAsia="en-GB"/>
        </w:rPr>
        <w:t xml:space="preserve"> </w:t>
      </w:r>
      <w:r w:rsidR="001426AF" w:rsidRPr="00032CF3">
        <w:rPr>
          <w:rFonts w:cs="Arial"/>
          <w:szCs w:val="24"/>
          <w:lang w:val="en-US" w:eastAsia="en-GB"/>
        </w:rPr>
        <w:t xml:space="preserve">which requires </w:t>
      </w:r>
      <w:r w:rsidRPr="00032CF3">
        <w:rPr>
          <w:rFonts w:cs="Arial"/>
          <w:szCs w:val="24"/>
          <w:lang w:val="en-US" w:eastAsia="en-GB"/>
        </w:rPr>
        <w:t>that organisations must be able to demonstrate compliance.  Part of this involves transparency and the provision of information to the public – previously referred to as fair processing.</w:t>
      </w:r>
    </w:p>
    <w:p w14:paraId="6791EAC7" w14:textId="77777777" w:rsidR="00AA6FE6" w:rsidRPr="00032CF3" w:rsidRDefault="00AA6FE6" w:rsidP="0080409F">
      <w:pPr>
        <w:spacing w:before="0" w:after="0" w:line="276" w:lineRule="auto"/>
        <w:jc w:val="both"/>
        <w:rPr>
          <w:rFonts w:cs="Arial"/>
          <w:szCs w:val="24"/>
          <w:lang w:val="en-US" w:eastAsia="en-GB"/>
        </w:rPr>
      </w:pPr>
    </w:p>
    <w:p w14:paraId="63E8B33A" w14:textId="77777777" w:rsidR="00B9576C" w:rsidRPr="00032CF3" w:rsidRDefault="00B9576C" w:rsidP="0080409F">
      <w:pPr>
        <w:spacing w:before="0" w:after="0" w:line="276" w:lineRule="auto"/>
        <w:jc w:val="both"/>
        <w:rPr>
          <w:rFonts w:cs="Arial"/>
          <w:szCs w:val="24"/>
          <w:lang w:val="en-US" w:eastAsia="en-GB"/>
        </w:rPr>
      </w:pPr>
      <w:r w:rsidRPr="00032CF3">
        <w:rPr>
          <w:rFonts w:cs="Arial"/>
          <w:szCs w:val="24"/>
          <w:lang w:val="en-US" w:eastAsia="en-GB"/>
        </w:rPr>
        <w:t xml:space="preserve">A specific requirement of the GDPR is that organisations must include their lawful basis for processing </w:t>
      </w:r>
      <w:r w:rsidR="00E759FE" w:rsidRPr="00032CF3">
        <w:rPr>
          <w:rFonts w:cs="Arial"/>
          <w:szCs w:val="24"/>
          <w:lang w:val="en-US" w:eastAsia="en-GB"/>
        </w:rPr>
        <w:t xml:space="preserve">in </w:t>
      </w:r>
      <w:r w:rsidRPr="00032CF3">
        <w:rPr>
          <w:rFonts w:cs="Arial"/>
          <w:szCs w:val="24"/>
          <w:lang w:val="en-US" w:eastAsia="en-GB"/>
        </w:rPr>
        <w:t>information provided to patients, servic</w:t>
      </w:r>
      <w:r w:rsidR="00096479" w:rsidRPr="00032CF3">
        <w:rPr>
          <w:rFonts w:cs="Arial"/>
          <w:szCs w:val="24"/>
          <w:lang w:val="en-US" w:eastAsia="en-GB"/>
        </w:rPr>
        <w:t>e users and staff, as well as informing individuals of their right to object to processing and how to exercise that right (see 4.7, 4.8)</w:t>
      </w:r>
      <w:r w:rsidR="00AA6FE6" w:rsidRPr="00032CF3">
        <w:rPr>
          <w:rFonts w:cs="Arial"/>
          <w:szCs w:val="24"/>
          <w:lang w:val="en-US" w:eastAsia="en-GB"/>
        </w:rPr>
        <w:t>.</w:t>
      </w:r>
    </w:p>
    <w:p w14:paraId="7130973A" w14:textId="77777777" w:rsidR="00AA6FE6" w:rsidRPr="00032CF3" w:rsidRDefault="00AA6FE6" w:rsidP="0080409F">
      <w:pPr>
        <w:spacing w:before="0" w:after="0" w:line="276" w:lineRule="auto"/>
        <w:jc w:val="both"/>
        <w:rPr>
          <w:rFonts w:cs="Arial"/>
          <w:szCs w:val="24"/>
          <w:lang w:val="en-US" w:eastAsia="en-GB"/>
        </w:rPr>
      </w:pPr>
    </w:p>
    <w:p w14:paraId="70268022" w14:textId="77777777" w:rsidR="00B9576C" w:rsidRPr="00032CF3" w:rsidRDefault="00B9576C" w:rsidP="00B9576C">
      <w:pPr>
        <w:spacing w:before="0" w:after="0" w:line="276" w:lineRule="auto"/>
        <w:jc w:val="both"/>
        <w:rPr>
          <w:rFonts w:cs="Arial"/>
          <w:color w:val="FF0000"/>
          <w:szCs w:val="24"/>
          <w:lang w:val="en-US"/>
        </w:rPr>
      </w:pPr>
      <w:r w:rsidRPr="00032CF3">
        <w:rPr>
          <w:rFonts w:cs="Arial"/>
          <w:color w:val="000000"/>
          <w:szCs w:val="24"/>
          <w:lang w:eastAsia="en-GB"/>
        </w:rPr>
        <w:t xml:space="preserve">Whilst we do not need to ask permission to use data for </w:t>
      </w:r>
      <w:r w:rsidR="00A46D88" w:rsidRPr="00032CF3">
        <w:rPr>
          <w:rFonts w:cs="Arial"/>
          <w:color w:val="000000"/>
          <w:szCs w:val="24"/>
          <w:lang w:eastAsia="en-GB"/>
        </w:rPr>
        <w:t xml:space="preserve">individual </w:t>
      </w:r>
      <w:r w:rsidRPr="00032CF3">
        <w:rPr>
          <w:rFonts w:cs="Arial"/>
          <w:color w:val="000000"/>
          <w:szCs w:val="24"/>
          <w:lang w:eastAsia="en-GB"/>
        </w:rPr>
        <w:t>care,</w:t>
      </w:r>
      <w:r w:rsidRPr="00032CF3">
        <w:rPr>
          <w:rFonts w:cs="Arial"/>
          <w:szCs w:val="24"/>
          <w:lang w:val="en-US" w:eastAsia="en-GB"/>
        </w:rPr>
        <w:t xml:space="preserve"> we are under a duty to inform people about </w:t>
      </w:r>
      <w:r w:rsidRPr="00032CF3">
        <w:rPr>
          <w:rFonts w:cs="Arial"/>
          <w:b/>
          <w:szCs w:val="24"/>
          <w:lang w:val="en-US" w:eastAsia="en-GB"/>
        </w:rPr>
        <w:t>what</w:t>
      </w:r>
      <w:r w:rsidRPr="00032CF3">
        <w:rPr>
          <w:rFonts w:cs="Arial"/>
          <w:szCs w:val="24"/>
          <w:lang w:val="en-US" w:eastAsia="en-GB"/>
        </w:rPr>
        <w:t xml:space="preserve"> we are doing, as well as </w:t>
      </w:r>
      <w:r w:rsidRPr="00032CF3">
        <w:rPr>
          <w:rFonts w:cs="Arial"/>
          <w:b/>
          <w:szCs w:val="24"/>
          <w:lang w:val="en-US" w:eastAsia="en-GB"/>
        </w:rPr>
        <w:t>why</w:t>
      </w:r>
      <w:r w:rsidRPr="00032CF3">
        <w:rPr>
          <w:rFonts w:cs="Arial"/>
          <w:szCs w:val="24"/>
          <w:lang w:val="en-US" w:eastAsia="en-GB"/>
        </w:rPr>
        <w:t xml:space="preserve"> and </w:t>
      </w:r>
      <w:r w:rsidRPr="00032CF3">
        <w:rPr>
          <w:rFonts w:cs="Arial"/>
          <w:b/>
          <w:szCs w:val="24"/>
          <w:lang w:val="en-US" w:eastAsia="en-GB"/>
        </w:rPr>
        <w:t>how</w:t>
      </w:r>
      <w:r w:rsidRPr="00032CF3">
        <w:rPr>
          <w:rFonts w:cs="Arial"/>
          <w:szCs w:val="24"/>
          <w:lang w:val="en-US" w:eastAsia="en-GB"/>
        </w:rPr>
        <w:t xml:space="preserve"> we are doing it</w:t>
      </w:r>
      <w:r w:rsidR="00684695" w:rsidRPr="00032CF3">
        <w:rPr>
          <w:rFonts w:cs="Arial"/>
          <w:szCs w:val="24"/>
          <w:lang w:val="en-US" w:eastAsia="en-GB"/>
        </w:rPr>
        <w:t>.</w:t>
      </w:r>
      <w:r w:rsidR="00096479" w:rsidRPr="00032CF3">
        <w:rPr>
          <w:rFonts w:cs="Arial"/>
          <w:szCs w:val="24"/>
          <w:lang w:val="en-US" w:eastAsia="en-GB"/>
        </w:rPr>
        <w:t xml:space="preserve"> </w:t>
      </w:r>
      <w:r w:rsidR="00A35B1E" w:rsidRPr="00032CF3">
        <w:rPr>
          <w:rFonts w:cs="Arial"/>
          <w:szCs w:val="24"/>
          <w:lang w:val="en-US" w:eastAsia="en-GB"/>
        </w:rPr>
        <w:t>(</w:t>
      </w:r>
      <w:r w:rsidR="00AC330C" w:rsidRPr="00032CF3">
        <w:rPr>
          <w:rFonts w:cs="Arial"/>
          <w:szCs w:val="24"/>
          <w:lang w:val="en-US" w:eastAsia="en-GB"/>
        </w:rPr>
        <w:t xml:space="preserve">GDPR </w:t>
      </w:r>
      <w:r w:rsidR="00A031CD">
        <w:rPr>
          <w:rFonts w:cs="Arial"/>
          <w:szCs w:val="24"/>
          <w:lang w:val="en-US" w:eastAsia="en-GB"/>
        </w:rPr>
        <w:t>Articles 13 and 14</w:t>
      </w:r>
      <w:r w:rsidR="00AC330C" w:rsidRPr="00032CF3">
        <w:rPr>
          <w:rFonts w:cs="Arial"/>
          <w:szCs w:val="24"/>
          <w:lang w:val="en-US" w:eastAsia="en-GB"/>
        </w:rPr>
        <w:t>)</w:t>
      </w:r>
      <w:r w:rsidR="00A46D88" w:rsidRPr="00032CF3">
        <w:rPr>
          <w:rFonts w:cs="Arial"/>
          <w:szCs w:val="24"/>
          <w:lang w:val="en-US" w:eastAsia="en-GB"/>
        </w:rPr>
        <w:t>.</w:t>
      </w:r>
    </w:p>
    <w:p w14:paraId="100E8021" w14:textId="77777777" w:rsidR="0080409F" w:rsidRPr="00032CF3" w:rsidRDefault="0080409F" w:rsidP="0080409F">
      <w:pPr>
        <w:spacing w:before="0" w:after="0" w:line="276" w:lineRule="auto"/>
        <w:jc w:val="both"/>
        <w:rPr>
          <w:rFonts w:cs="Arial"/>
          <w:szCs w:val="24"/>
          <w:lang w:val="en-US" w:eastAsia="en-GB"/>
        </w:rPr>
      </w:pPr>
    </w:p>
    <w:p w14:paraId="7D253C12" w14:textId="13E63D5C" w:rsidR="00EB380B" w:rsidRPr="00CC7EB6" w:rsidRDefault="0080409F" w:rsidP="00AC330C">
      <w:pPr>
        <w:spacing w:before="0" w:after="0" w:line="276" w:lineRule="auto"/>
        <w:jc w:val="both"/>
        <w:rPr>
          <w:rFonts w:cs="Arial"/>
          <w:szCs w:val="24"/>
          <w:lang w:val="en-US" w:eastAsia="en-GB"/>
        </w:rPr>
      </w:pPr>
      <w:r w:rsidRPr="00032CF3">
        <w:rPr>
          <w:rFonts w:cs="Arial"/>
          <w:szCs w:val="24"/>
          <w:lang w:val="en-US" w:eastAsia="en-GB"/>
        </w:rPr>
        <w:t>The law gives discretion to controllers to consider where the information they are required to tell people is displayed and which different layers of communication to adopt.</w:t>
      </w:r>
      <w:r w:rsidR="006B1A7B" w:rsidRPr="00032CF3">
        <w:rPr>
          <w:rFonts w:cs="Arial"/>
          <w:szCs w:val="24"/>
          <w:lang w:val="en-US" w:eastAsia="en-GB"/>
        </w:rPr>
        <w:t xml:space="preserve"> </w:t>
      </w:r>
    </w:p>
    <w:p w14:paraId="623531E1" w14:textId="77777777" w:rsidR="00096479" w:rsidRPr="00032CF3" w:rsidRDefault="00096479" w:rsidP="0080409F">
      <w:pPr>
        <w:spacing w:before="0" w:after="0" w:line="276" w:lineRule="auto"/>
        <w:jc w:val="both"/>
        <w:rPr>
          <w:rFonts w:cs="Arial"/>
          <w:color w:val="FF0000"/>
          <w:szCs w:val="24"/>
          <w:lang w:val="en-US" w:eastAsia="en-GB"/>
        </w:rPr>
      </w:pPr>
    </w:p>
    <w:p w14:paraId="4BC5E893" w14:textId="77777777" w:rsidR="00CC7EB6" w:rsidRDefault="00CC7EB6">
      <w:pPr>
        <w:spacing w:before="0" w:after="160" w:line="259" w:lineRule="auto"/>
        <w:rPr>
          <w:rFonts w:cs="Arial"/>
          <w:szCs w:val="24"/>
          <w:lang w:val="en-US" w:eastAsia="en-GB"/>
        </w:rPr>
      </w:pPr>
      <w:r>
        <w:rPr>
          <w:rFonts w:cs="Arial"/>
          <w:szCs w:val="24"/>
          <w:lang w:val="en-US" w:eastAsia="en-GB"/>
        </w:rPr>
        <w:br w:type="page"/>
      </w:r>
    </w:p>
    <w:p w14:paraId="2DC76E2A" w14:textId="6BAFA125" w:rsidR="0080409F" w:rsidRPr="00032CF3" w:rsidRDefault="0080409F" w:rsidP="0080409F">
      <w:pPr>
        <w:spacing w:before="0" w:after="0" w:line="276" w:lineRule="auto"/>
        <w:jc w:val="both"/>
        <w:rPr>
          <w:rFonts w:cs="Arial"/>
          <w:szCs w:val="24"/>
          <w:lang w:val="en-US" w:eastAsia="en-GB"/>
        </w:rPr>
      </w:pPr>
      <w:r w:rsidRPr="00032CF3">
        <w:rPr>
          <w:rFonts w:cs="Arial"/>
          <w:szCs w:val="24"/>
          <w:lang w:val="en-US" w:eastAsia="en-GB"/>
        </w:rPr>
        <w:t xml:space="preserve">It is however clear that information regarding the processing of personal data </w:t>
      </w:r>
      <w:r w:rsidR="001426AF" w:rsidRPr="00032CF3">
        <w:rPr>
          <w:rFonts w:cs="Arial"/>
          <w:szCs w:val="24"/>
          <w:lang w:val="en-US" w:eastAsia="en-GB"/>
        </w:rPr>
        <w:t>must</w:t>
      </w:r>
      <w:r w:rsidRPr="00032CF3">
        <w:rPr>
          <w:rFonts w:cs="Arial"/>
          <w:szCs w:val="24"/>
          <w:lang w:val="en-US" w:eastAsia="en-GB"/>
        </w:rPr>
        <w:t xml:space="preserve"> be:  </w:t>
      </w:r>
    </w:p>
    <w:p w14:paraId="56DA0A89" w14:textId="77777777" w:rsidR="0080409F" w:rsidRPr="00032CF3" w:rsidRDefault="0080409F" w:rsidP="00962AE5">
      <w:pPr>
        <w:pStyle w:val="ListParagraph"/>
        <w:numPr>
          <w:ilvl w:val="0"/>
          <w:numId w:val="15"/>
        </w:numPr>
        <w:spacing w:before="0" w:after="0" w:line="276" w:lineRule="auto"/>
        <w:rPr>
          <w:rFonts w:ascii="Arial" w:hAnsi="Arial"/>
          <w:sz w:val="24"/>
          <w:szCs w:val="24"/>
          <w:lang w:val="en-US"/>
        </w:rPr>
      </w:pPr>
      <w:r w:rsidRPr="00032CF3">
        <w:rPr>
          <w:rFonts w:ascii="Arial" w:hAnsi="Arial"/>
          <w:sz w:val="24"/>
          <w:szCs w:val="24"/>
          <w:lang w:val="en-US" w:eastAsia="en-GB"/>
        </w:rPr>
        <w:t>Easily accessible</w:t>
      </w:r>
      <w:r w:rsidR="006B1A7B" w:rsidRPr="00032CF3">
        <w:rPr>
          <w:rFonts w:ascii="Arial" w:hAnsi="Arial"/>
          <w:sz w:val="24"/>
          <w:szCs w:val="24"/>
          <w:lang w:val="en-US" w:eastAsia="en-GB"/>
        </w:rPr>
        <w:t xml:space="preserve"> (p</w:t>
      </w:r>
      <w:r w:rsidR="00687D08" w:rsidRPr="00032CF3">
        <w:rPr>
          <w:rFonts w:ascii="Arial" w:hAnsi="Arial"/>
          <w:sz w:val="24"/>
          <w:szCs w:val="24"/>
          <w:lang w:val="en-US" w:eastAsia="en-GB"/>
        </w:rPr>
        <w:t>aper or electronic</w:t>
      </w:r>
      <w:r w:rsidR="006B1A7B" w:rsidRPr="00032CF3">
        <w:rPr>
          <w:rFonts w:ascii="Arial" w:hAnsi="Arial"/>
          <w:sz w:val="24"/>
          <w:szCs w:val="24"/>
          <w:lang w:val="en-US" w:eastAsia="en-GB"/>
        </w:rPr>
        <w:t xml:space="preserve"> if requested or directed to the website)</w:t>
      </w:r>
    </w:p>
    <w:p w14:paraId="05D31C57" w14:textId="77777777" w:rsidR="0080409F" w:rsidRPr="00032CF3" w:rsidRDefault="0080409F" w:rsidP="00962AE5">
      <w:pPr>
        <w:pStyle w:val="ListParagraph"/>
        <w:numPr>
          <w:ilvl w:val="0"/>
          <w:numId w:val="15"/>
        </w:numPr>
        <w:spacing w:before="0" w:after="0" w:line="276" w:lineRule="auto"/>
        <w:rPr>
          <w:rFonts w:ascii="Arial" w:hAnsi="Arial"/>
          <w:sz w:val="24"/>
          <w:szCs w:val="24"/>
          <w:lang w:val="en-US" w:eastAsia="en-GB"/>
        </w:rPr>
      </w:pPr>
      <w:r w:rsidRPr="00032CF3">
        <w:rPr>
          <w:rFonts w:ascii="Arial" w:hAnsi="Arial"/>
          <w:sz w:val="24"/>
          <w:szCs w:val="24"/>
          <w:lang w:val="en-US" w:eastAsia="en-GB"/>
        </w:rPr>
        <w:t xml:space="preserve">Concise, transparent and intelligible </w:t>
      </w:r>
    </w:p>
    <w:p w14:paraId="0EF2DEAB" w14:textId="77777777" w:rsidR="00687D08" w:rsidRPr="00032CF3" w:rsidRDefault="0080409F" w:rsidP="00962AE5">
      <w:pPr>
        <w:pStyle w:val="ListParagraph"/>
        <w:numPr>
          <w:ilvl w:val="0"/>
          <w:numId w:val="15"/>
        </w:numPr>
        <w:spacing w:before="0" w:after="0" w:line="276" w:lineRule="auto"/>
        <w:rPr>
          <w:rFonts w:ascii="Arial" w:hAnsi="Arial"/>
          <w:sz w:val="24"/>
          <w:szCs w:val="24"/>
          <w:lang w:val="en-US" w:eastAsia="en-GB"/>
        </w:rPr>
      </w:pPr>
      <w:r w:rsidRPr="00032CF3">
        <w:rPr>
          <w:rFonts w:ascii="Arial" w:hAnsi="Arial"/>
          <w:sz w:val="24"/>
          <w:szCs w:val="24"/>
          <w:lang w:val="en-US" w:eastAsia="en-GB"/>
        </w:rPr>
        <w:t>Writt</w:t>
      </w:r>
      <w:r w:rsidR="00687D08" w:rsidRPr="00032CF3">
        <w:rPr>
          <w:rFonts w:ascii="Arial" w:hAnsi="Arial"/>
          <w:sz w:val="24"/>
          <w:szCs w:val="24"/>
          <w:lang w:val="en-US" w:eastAsia="en-GB"/>
        </w:rPr>
        <w:t>en in clear, plain language</w:t>
      </w:r>
    </w:p>
    <w:p w14:paraId="16550E48" w14:textId="77777777" w:rsidR="0080409F" w:rsidRPr="00032CF3" w:rsidRDefault="0080409F" w:rsidP="00962AE5">
      <w:pPr>
        <w:pStyle w:val="ListParagraph"/>
        <w:numPr>
          <w:ilvl w:val="0"/>
          <w:numId w:val="15"/>
        </w:numPr>
        <w:spacing w:before="0" w:after="0" w:line="276" w:lineRule="auto"/>
        <w:rPr>
          <w:rFonts w:ascii="Arial" w:hAnsi="Arial"/>
          <w:sz w:val="24"/>
          <w:szCs w:val="24"/>
          <w:lang w:val="en-US"/>
        </w:rPr>
      </w:pPr>
      <w:r w:rsidRPr="00032CF3">
        <w:rPr>
          <w:rFonts w:ascii="Arial" w:hAnsi="Arial"/>
          <w:sz w:val="24"/>
          <w:szCs w:val="24"/>
          <w:lang w:val="en-US" w:eastAsia="en-GB"/>
        </w:rPr>
        <w:t>Free of charge</w:t>
      </w:r>
    </w:p>
    <w:p w14:paraId="5811908F" w14:textId="77777777" w:rsidR="006B1A7B" w:rsidRPr="00032CF3" w:rsidRDefault="006B1A7B" w:rsidP="0080409F">
      <w:pPr>
        <w:spacing w:before="0" w:after="0" w:line="276" w:lineRule="auto"/>
        <w:jc w:val="both"/>
        <w:rPr>
          <w:rFonts w:cs="Arial"/>
          <w:color w:val="0070C0"/>
          <w:szCs w:val="24"/>
          <w:lang w:val="en-US" w:eastAsia="en-GB"/>
        </w:rPr>
      </w:pPr>
    </w:p>
    <w:p w14:paraId="34E3A4D4" w14:textId="77777777" w:rsidR="002554A3" w:rsidRPr="00032CF3" w:rsidRDefault="002554A3" w:rsidP="002554A3">
      <w:pPr>
        <w:spacing w:before="0" w:after="0" w:line="276" w:lineRule="auto"/>
        <w:jc w:val="both"/>
        <w:rPr>
          <w:rFonts w:cs="Arial"/>
          <w:szCs w:val="24"/>
          <w:lang w:val="en-US" w:eastAsia="en-GB"/>
        </w:rPr>
      </w:pPr>
      <w:r w:rsidRPr="00032CF3">
        <w:rPr>
          <w:rFonts w:cs="Arial"/>
          <w:szCs w:val="24"/>
          <w:lang w:val="en-US" w:eastAsia="en-GB"/>
        </w:rPr>
        <w:lastRenderedPageBreak/>
        <w:t>Care must be taken if conveying information to children as more specific obligations will apply</w:t>
      </w:r>
      <w:r w:rsidR="001D2BB9" w:rsidRPr="00032CF3">
        <w:rPr>
          <w:rStyle w:val="FootnoteReference"/>
          <w:rFonts w:cs="Arial"/>
          <w:szCs w:val="24"/>
          <w:lang w:eastAsia="en-GB"/>
        </w:rPr>
        <w:footnoteReference w:id="7"/>
      </w:r>
      <w:r w:rsidRPr="00032CF3">
        <w:rPr>
          <w:rFonts w:cs="Arial"/>
          <w:szCs w:val="24"/>
          <w:lang w:val="en-US" w:eastAsia="en-GB"/>
        </w:rPr>
        <w:t>. There are also differences in what you must provide depending upon whether you are collecting information directly from individuals or whether it is being obtained from a third party.</w:t>
      </w:r>
    </w:p>
    <w:p w14:paraId="1C371B8E" w14:textId="77777777" w:rsidR="006C7B62" w:rsidRDefault="006C7B62" w:rsidP="006C7B62">
      <w:pPr>
        <w:spacing w:before="0" w:after="0" w:line="276" w:lineRule="auto"/>
        <w:jc w:val="both"/>
        <w:rPr>
          <w:rFonts w:cs="Arial"/>
          <w:szCs w:val="24"/>
          <w:lang w:val="en-US" w:eastAsia="en-GB"/>
        </w:rPr>
      </w:pPr>
    </w:p>
    <w:p w14:paraId="0928D574" w14:textId="77777777" w:rsidR="006C7B62" w:rsidRPr="00032CF3" w:rsidRDefault="006C7B62" w:rsidP="006C7B62">
      <w:pPr>
        <w:spacing w:before="0" w:after="0" w:line="276" w:lineRule="auto"/>
        <w:jc w:val="both"/>
        <w:rPr>
          <w:rFonts w:cs="Arial"/>
          <w:color w:val="FF0000"/>
          <w:szCs w:val="24"/>
          <w:lang w:val="en-US"/>
        </w:rPr>
      </w:pPr>
      <w:r w:rsidRPr="00032CF3">
        <w:rPr>
          <w:rFonts w:cs="Arial"/>
          <w:szCs w:val="24"/>
          <w:lang w:val="en-US" w:eastAsia="en-GB"/>
        </w:rPr>
        <w:t xml:space="preserve">It is helpful, if possible, to involve communications professionals in this process. It is important to ensure that the production of materials, language used and channels used are appropriate. </w:t>
      </w:r>
    </w:p>
    <w:p w14:paraId="7E9185D3" w14:textId="77777777" w:rsidR="0080409F" w:rsidRPr="00032CF3" w:rsidRDefault="0080409F" w:rsidP="0080409F">
      <w:pPr>
        <w:spacing w:before="0" w:after="0" w:line="276" w:lineRule="auto"/>
        <w:jc w:val="both"/>
        <w:rPr>
          <w:rFonts w:cs="Arial"/>
          <w:szCs w:val="24"/>
          <w:lang w:val="en-US" w:eastAsia="en-GB"/>
        </w:rPr>
      </w:pPr>
    </w:p>
    <w:p w14:paraId="2FC7E2D2" w14:textId="77777777" w:rsidR="0080409F" w:rsidRDefault="00AC330C" w:rsidP="00AC330C">
      <w:pPr>
        <w:spacing w:before="0" w:after="0" w:line="276" w:lineRule="auto"/>
        <w:jc w:val="both"/>
        <w:rPr>
          <w:rFonts w:cs="Arial"/>
          <w:color w:val="000000" w:themeColor="text1"/>
          <w:szCs w:val="24"/>
          <w:lang w:val="en-US" w:eastAsia="en-GB"/>
        </w:rPr>
      </w:pPr>
      <w:r w:rsidRPr="00032CF3">
        <w:rPr>
          <w:rFonts w:cs="Arial"/>
          <w:color w:val="000000" w:themeColor="text1"/>
          <w:szCs w:val="24"/>
          <w:lang w:val="en-US" w:eastAsia="en-GB"/>
        </w:rPr>
        <w:t>Individuals have the right to know who has access rights and has accessed their record for processing</w:t>
      </w:r>
      <w:r w:rsidR="00A35B1E" w:rsidRPr="00032CF3">
        <w:rPr>
          <w:rFonts w:cs="Arial"/>
          <w:color w:val="000000" w:themeColor="text1"/>
          <w:szCs w:val="24"/>
          <w:lang w:val="en-US" w:eastAsia="en-GB"/>
        </w:rPr>
        <w:t xml:space="preserve"> based on Role Based Access Control (RBAC)</w:t>
      </w:r>
      <w:r w:rsidRPr="00032CF3">
        <w:rPr>
          <w:rFonts w:cs="Arial"/>
          <w:color w:val="000000" w:themeColor="text1"/>
          <w:szCs w:val="24"/>
          <w:lang w:val="en-US" w:eastAsia="en-GB"/>
        </w:rPr>
        <w:t>; hence organisations should consider how they would manage these requests.</w:t>
      </w:r>
    </w:p>
    <w:p w14:paraId="22554CCF" w14:textId="77777777" w:rsidR="00394E3E" w:rsidRDefault="00394E3E" w:rsidP="00AC330C">
      <w:pPr>
        <w:spacing w:before="0" w:after="0" w:line="276" w:lineRule="auto"/>
        <w:jc w:val="both"/>
        <w:rPr>
          <w:rFonts w:cs="Arial"/>
          <w:color w:val="000000" w:themeColor="text1"/>
          <w:szCs w:val="24"/>
          <w:lang w:val="en-US" w:eastAsia="en-GB"/>
        </w:rPr>
      </w:pPr>
    </w:p>
    <w:p w14:paraId="3D7075B8" w14:textId="77777777" w:rsidR="00394E3E" w:rsidRPr="00394E3E" w:rsidRDefault="00394E3E" w:rsidP="00394E3E">
      <w:pPr>
        <w:spacing w:before="0" w:after="0" w:line="276" w:lineRule="auto"/>
        <w:jc w:val="both"/>
        <w:rPr>
          <w:rFonts w:cs="Arial"/>
          <w:iCs/>
          <w:color w:val="000000" w:themeColor="text1"/>
          <w:lang w:eastAsia="en-GB"/>
        </w:rPr>
      </w:pPr>
      <w:r w:rsidRPr="00394E3E">
        <w:rPr>
          <w:rFonts w:cs="Arial"/>
          <w:iCs/>
          <w:color w:val="000000" w:themeColor="text1"/>
          <w:lang w:eastAsia="en-GB"/>
        </w:rPr>
        <w:t>Where patient information is accessed, only relevant information should be seen. If it is proposed to allow access to a patient’s entire record (‘whole record access’) then the patient’s explicit consent must be sought.</w:t>
      </w:r>
    </w:p>
    <w:p w14:paraId="1E60E97D" w14:textId="77777777" w:rsidR="00394E3E" w:rsidRDefault="00394E3E" w:rsidP="00AC330C">
      <w:pPr>
        <w:spacing w:before="0" w:after="0" w:line="276" w:lineRule="auto"/>
        <w:jc w:val="both"/>
        <w:rPr>
          <w:rFonts w:cs="Arial"/>
          <w:color w:val="000000" w:themeColor="text1"/>
          <w:szCs w:val="24"/>
          <w:lang w:val="en-US" w:eastAsia="en-GB"/>
        </w:rPr>
      </w:pPr>
    </w:p>
    <w:p w14:paraId="06EA2B7E" w14:textId="77777777" w:rsidR="006C7B62" w:rsidRPr="00032CF3" w:rsidRDefault="006C7B62" w:rsidP="006C7B62">
      <w:pPr>
        <w:spacing w:before="0" w:after="0" w:line="276" w:lineRule="auto"/>
        <w:jc w:val="both"/>
        <w:rPr>
          <w:rFonts w:cs="Arial"/>
          <w:szCs w:val="24"/>
          <w:lang w:val="en-US" w:eastAsia="en-GB"/>
        </w:rPr>
      </w:pPr>
      <w:r w:rsidRPr="00032CF3">
        <w:rPr>
          <w:rFonts w:cs="Arial"/>
          <w:szCs w:val="24"/>
          <w:lang w:val="en-US" w:eastAsia="en-GB"/>
        </w:rPr>
        <w:t xml:space="preserve">On-line </w:t>
      </w:r>
      <w:r w:rsidR="00C71005">
        <w:rPr>
          <w:rFonts w:cs="Arial"/>
          <w:szCs w:val="24"/>
          <w:lang w:val="en-US" w:eastAsia="en-GB"/>
        </w:rPr>
        <w:t>information</w:t>
      </w:r>
      <w:r w:rsidR="00C71005" w:rsidRPr="00032CF3">
        <w:rPr>
          <w:rFonts w:cs="Arial"/>
          <w:szCs w:val="24"/>
          <w:lang w:val="en-US" w:eastAsia="en-GB"/>
        </w:rPr>
        <w:t xml:space="preserve"> </w:t>
      </w:r>
      <w:r w:rsidRPr="00032CF3">
        <w:rPr>
          <w:rFonts w:cs="Arial"/>
          <w:szCs w:val="24"/>
          <w:lang w:val="en-US" w:eastAsia="en-GB"/>
        </w:rPr>
        <w:t>can form part of the duty of transparency and can assist in helping to keep the data relevant and accurate. The publication of records of processing activities (RoPA), data sharing flows etc., can all contribute to this aim (consider Freedom of Information Act 2000).</w:t>
      </w:r>
    </w:p>
    <w:p w14:paraId="60933466" w14:textId="77777777" w:rsidR="0080409F" w:rsidRPr="00032CF3" w:rsidRDefault="0080409F" w:rsidP="0080409F">
      <w:pPr>
        <w:spacing w:before="0" w:after="0" w:line="276" w:lineRule="auto"/>
        <w:jc w:val="both"/>
        <w:rPr>
          <w:rFonts w:cs="Arial"/>
          <w:szCs w:val="24"/>
          <w:lang w:val="en-US" w:eastAsia="en-GB"/>
        </w:rPr>
      </w:pPr>
    </w:p>
    <w:p w14:paraId="0A4E0CAB" w14:textId="77777777" w:rsidR="00A35B1E" w:rsidRPr="00032CF3" w:rsidRDefault="0080409F" w:rsidP="00A35B1E">
      <w:pPr>
        <w:spacing w:before="0" w:after="0" w:line="276" w:lineRule="auto"/>
        <w:jc w:val="both"/>
        <w:rPr>
          <w:rFonts w:cs="Arial"/>
          <w:szCs w:val="24"/>
        </w:rPr>
      </w:pPr>
      <w:r w:rsidRPr="00032CF3">
        <w:rPr>
          <w:rFonts w:cs="Arial"/>
          <w:szCs w:val="24"/>
          <w:lang w:val="en-US" w:eastAsia="en-GB"/>
        </w:rPr>
        <w:t>To ensure a consistency throughout the LHCR it is important that the same</w:t>
      </w:r>
      <w:r w:rsidR="00A35B1E" w:rsidRPr="00032CF3">
        <w:rPr>
          <w:rFonts w:cs="Arial"/>
          <w:szCs w:val="24"/>
          <w:lang w:val="en-US" w:eastAsia="en-GB"/>
        </w:rPr>
        <w:t xml:space="preserve"> messages and language are used and w</w:t>
      </w:r>
      <w:r w:rsidR="00A35B1E" w:rsidRPr="00032CF3">
        <w:rPr>
          <w:rFonts w:cs="Arial"/>
          <w:szCs w:val="24"/>
        </w:rPr>
        <w:t xml:space="preserve">hen </w:t>
      </w:r>
      <w:r w:rsidR="00F143B3" w:rsidRPr="00032CF3">
        <w:rPr>
          <w:rFonts w:cs="Arial"/>
          <w:szCs w:val="24"/>
        </w:rPr>
        <w:t>new organisations join the LHCR</w:t>
      </w:r>
      <w:r w:rsidR="00C71005">
        <w:rPr>
          <w:rFonts w:cs="Arial"/>
          <w:szCs w:val="24"/>
        </w:rPr>
        <w:t>,</w:t>
      </w:r>
      <w:r w:rsidR="00A35B1E" w:rsidRPr="00032CF3">
        <w:rPr>
          <w:rFonts w:cs="Arial"/>
          <w:szCs w:val="24"/>
        </w:rPr>
        <w:t xml:space="preserve"> transparency information will need to be updated.</w:t>
      </w:r>
    </w:p>
    <w:p w14:paraId="6F48A6E7" w14:textId="77777777" w:rsidR="0080409F" w:rsidRPr="00032CF3" w:rsidRDefault="0080409F" w:rsidP="0080409F">
      <w:pPr>
        <w:spacing w:before="0" w:after="0" w:line="276" w:lineRule="auto"/>
        <w:jc w:val="both"/>
        <w:rPr>
          <w:rFonts w:cs="Arial"/>
          <w:szCs w:val="24"/>
          <w:lang w:val="en-US" w:eastAsia="en-GB"/>
        </w:rPr>
      </w:pPr>
    </w:p>
    <w:p w14:paraId="5137E141" w14:textId="77777777" w:rsidR="00A35B1E" w:rsidRPr="00032CF3" w:rsidRDefault="0080409F" w:rsidP="00F143B3">
      <w:pPr>
        <w:spacing w:before="0" w:after="0" w:line="276" w:lineRule="auto"/>
        <w:jc w:val="both"/>
        <w:rPr>
          <w:rFonts w:cs="Arial"/>
          <w:szCs w:val="24"/>
        </w:rPr>
      </w:pPr>
      <w:bookmarkStart w:id="27" w:name="_Hlk535227164"/>
      <w:r w:rsidRPr="00032CF3">
        <w:rPr>
          <w:rFonts w:cs="Arial"/>
          <w:szCs w:val="24"/>
          <w:lang w:val="en-US" w:eastAsia="en-GB"/>
        </w:rPr>
        <w:t>Equally</w:t>
      </w:r>
      <w:r w:rsidR="00F143B3" w:rsidRPr="00032CF3">
        <w:rPr>
          <w:rFonts w:cs="Arial"/>
          <w:szCs w:val="24"/>
          <w:lang w:val="en-US" w:eastAsia="en-GB"/>
        </w:rPr>
        <w:t>,</w:t>
      </w:r>
      <w:r w:rsidRPr="00032CF3">
        <w:rPr>
          <w:rFonts w:cs="Arial"/>
          <w:szCs w:val="24"/>
          <w:lang w:val="en-US" w:eastAsia="en-GB"/>
        </w:rPr>
        <w:t xml:space="preserve"> to ensure consistency across the system</w:t>
      </w:r>
      <w:r w:rsidR="0049551C" w:rsidRPr="00032CF3">
        <w:rPr>
          <w:rFonts w:cs="Arial"/>
          <w:szCs w:val="24"/>
          <w:lang w:val="en-US" w:eastAsia="en-GB"/>
        </w:rPr>
        <w:t>,</w:t>
      </w:r>
      <w:r w:rsidRPr="00032CF3">
        <w:rPr>
          <w:rFonts w:cs="Arial"/>
          <w:szCs w:val="24"/>
          <w:lang w:val="en-US" w:eastAsia="en-GB"/>
        </w:rPr>
        <w:t xml:space="preserve"> template text for national in</w:t>
      </w:r>
      <w:r w:rsidR="00E759FE" w:rsidRPr="00032CF3">
        <w:rPr>
          <w:rFonts w:cs="Arial"/>
          <w:szCs w:val="24"/>
          <w:lang w:val="en-US" w:eastAsia="en-GB"/>
        </w:rPr>
        <w:t xml:space="preserve">itiatives such as the </w:t>
      </w:r>
      <w:r w:rsidR="00C71005">
        <w:rPr>
          <w:rFonts w:cs="Arial"/>
          <w:szCs w:val="24"/>
          <w:lang w:val="en-US" w:eastAsia="en-GB"/>
        </w:rPr>
        <w:t>n</w:t>
      </w:r>
      <w:r w:rsidR="00E759FE" w:rsidRPr="00032CF3">
        <w:rPr>
          <w:rFonts w:cs="Arial"/>
          <w:szCs w:val="24"/>
          <w:lang w:val="en-US" w:eastAsia="en-GB"/>
        </w:rPr>
        <w:t xml:space="preserve">ational </w:t>
      </w:r>
      <w:r w:rsidR="00C71005">
        <w:rPr>
          <w:rFonts w:cs="Arial"/>
          <w:szCs w:val="24"/>
          <w:lang w:val="en-US" w:eastAsia="en-GB"/>
        </w:rPr>
        <w:t>data o</w:t>
      </w:r>
      <w:r w:rsidR="00E759FE" w:rsidRPr="00032CF3">
        <w:rPr>
          <w:rFonts w:cs="Arial"/>
          <w:szCs w:val="24"/>
          <w:lang w:val="en-US" w:eastAsia="en-GB"/>
        </w:rPr>
        <w:t>pt</w:t>
      </w:r>
      <w:r w:rsidR="00C71005">
        <w:rPr>
          <w:rFonts w:cs="Arial"/>
          <w:szCs w:val="24"/>
          <w:lang w:val="en-US" w:eastAsia="en-GB"/>
        </w:rPr>
        <w:t>-o</w:t>
      </w:r>
      <w:r w:rsidRPr="00032CF3">
        <w:rPr>
          <w:rFonts w:cs="Arial"/>
          <w:szCs w:val="24"/>
          <w:lang w:val="en-US" w:eastAsia="en-GB"/>
        </w:rPr>
        <w:t>ut template</w:t>
      </w:r>
      <w:r w:rsidR="00687D08" w:rsidRPr="00032CF3">
        <w:rPr>
          <w:rFonts w:cs="Arial"/>
          <w:szCs w:val="24"/>
          <w:lang w:val="en-US" w:eastAsia="en-GB"/>
        </w:rPr>
        <w:t xml:space="preserve"> or local requirements such as DPIA</w:t>
      </w:r>
      <w:r w:rsidR="0029624F" w:rsidRPr="00032CF3">
        <w:rPr>
          <w:rFonts w:cs="Arial"/>
          <w:szCs w:val="24"/>
          <w:lang w:val="en-US" w:eastAsia="en-GB"/>
        </w:rPr>
        <w:t xml:space="preserve"> and</w:t>
      </w:r>
      <w:r w:rsidR="00687D08" w:rsidRPr="00032CF3">
        <w:rPr>
          <w:rFonts w:cs="Arial"/>
          <w:szCs w:val="24"/>
          <w:lang w:val="en-US" w:eastAsia="en-GB"/>
        </w:rPr>
        <w:t xml:space="preserve"> privacy notices</w:t>
      </w:r>
      <w:r w:rsidR="00642313" w:rsidRPr="00032CF3">
        <w:rPr>
          <w:rFonts w:cs="Arial"/>
          <w:szCs w:val="24"/>
          <w:lang w:val="en-US" w:eastAsia="en-GB"/>
        </w:rPr>
        <w:t xml:space="preserve"> must</w:t>
      </w:r>
      <w:r w:rsidRPr="00032CF3">
        <w:rPr>
          <w:rFonts w:cs="Arial"/>
          <w:szCs w:val="24"/>
          <w:lang w:val="en-US" w:eastAsia="en-GB"/>
        </w:rPr>
        <w:t xml:space="preserve"> be adopted.</w:t>
      </w:r>
      <w:r w:rsidR="0049551C" w:rsidRPr="00032CF3">
        <w:rPr>
          <w:rFonts w:cs="Arial"/>
          <w:szCs w:val="24"/>
          <w:lang w:val="en-US" w:eastAsia="en-GB"/>
        </w:rPr>
        <w:t xml:space="preserve">  </w:t>
      </w:r>
      <w:r w:rsidR="00D53765" w:rsidRPr="00032CF3">
        <w:rPr>
          <w:rFonts w:cs="Arial"/>
          <w:szCs w:val="24"/>
        </w:rPr>
        <w:t xml:space="preserve">Further guidance on transparency can be found in </w:t>
      </w:r>
      <w:r w:rsidR="001F1826" w:rsidRPr="00032CF3">
        <w:rPr>
          <w:rFonts w:cs="Arial"/>
          <w:szCs w:val="24"/>
        </w:rPr>
        <w:t xml:space="preserve">Appendix </w:t>
      </w:r>
      <w:r w:rsidR="00741463" w:rsidRPr="00032CF3">
        <w:rPr>
          <w:rFonts w:cs="Arial"/>
          <w:szCs w:val="24"/>
        </w:rPr>
        <w:t>H</w:t>
      </w:r>
      <w:r w:rsidR="001F1826" w:rsidRPr="00032CF3">
        <w:rPr>
          <w:rFonts w:cs="Arial"/>
          <w:szCs w:val="24"/>
        </w:rPr>
        <w:t xml:space="preserve"> (4.2).</w:t>
      </w:r>
    </w:p>
    <w:bookmarkEnd w:id="27"/>
    <w:p w14:paraId="67C965D5" w14:textId="77777777" w:rsidR="009D0464" w:rsidRPr="00032CF3" w:rsidRDefault="009D0464" w:rsidP="00AF63BC">
      <w:pPr>
        <w:spacing w:before="0" w:after="0" w:line="276" w:lineRule="auto"/>
        <w:jc w:val="both"/>
        <w:rPr>
          <w:rFonts w:cs="Arial"/>
          <w:szCs w:val="24"/>
          <w:lang w:val="en-US" w:eastAsia="en-GB"/>
        </w:rPr>
      </w:pPr>
    </w:p>
    <w:p w14:paraId="345499CF" w14:textId="77777777" w:rsidR="00AA6FE6" w:rsidRPr="00032CF3" w:rsidRDefault="00603945" w:rsidP="00AA6FE6">
      <w:pPr>
        <w:spacing w:before="0" w:after="0" w:line="276" w:lineRule="auto"/>
        <w:rPr>
          <w:rFonts w:cs="Arial"/>
          <w:szCs w:val="24"/>
        </w:rPr>
      </w:pPr>
      <w:r w:rsidRPr="00032CF3">
        <w:rPr>
          <w:rFonts w:cs="Arial"/>
          <w:szCs w:val="24"/>
        </w:rPr>
        <w:t>For</w:t>
      </w:r>
      <w:r w:rsidR="00366322" w:rsidRPr="00032CF3">
        <w:rPr>
          <w:rFonts w:cs="Arial"/>
          <w:szCs w:val="24"/>
        </w:rPr>
        <w:t xml:space="preserve"> </w:t>
      </w:r>
      <w:r w:rsidR="00CB534D" w:rsidRPr="00032CF3">
        <w:rPr>
          <w:rFonts w:cs="Arial"/>
          <w:szCs w:val="24"/>
        </w:rPr>
        <w:t>t</w:t>
      </w:r>
      <w:r w:rsidR="00366322" w:rsidRPr="00032CF3">
        <w:rPr>
          <w:rFonts w:cs="Arial"/>
          <w:szCs w:val="24"/>
        </w:rPr>
        <w:t xml:space="preserve">ools </w:t>
      </w:r>
      <w:r w:rsidRPr="00032CF3">
        <w:rPr>
          <w:rFonts w:cs="Arial"/>
          <w:szCs w:val="24"/>
        </w:rPr>
        <w:t>and templates to</w:t>
      </w:r>
      <w:r w:rsidR="00AA6FE6" w:rsidRPr="00032CF3">
        <w:rPr>
          <w:rFonts w:cs="Arial"/>
          <w:szCs w:val="24"/>
        </w:rPr>
        <w:t xml:space="preserve"> support th</w:t>
      </w:r>
      <w:r w:rsidR="00741463" w:rsidRPr="00032CF3">
        <w:rPr>
          <w:rFonts w:cs="Arial"/>
          <w:szCs w:val="24"/>
        </w:rPr>
        <w:t>is section please see Appendix H</w:t>
      </w:r>
      <w:r w:rsidR="00AA6FE6" w:rsidRPr="00032CF3">
        <w:rPr>
          <w:rFonts w:cs="Arial"/>
          <w:szCs w:val="24"/>
        </w:rPr>
        <w:t xml:space="preserve"> (4.2).</w:t>
      </w:r>
    </w:p>
    <w:p w14:paraId="2C9D7696" w14:textId="02782B0B" w:rsidR="00CC7EB6" w:rsidRDefault="00CC7EB6">
      <w:pPr>
        <w:spacing w:before="0" w:after="160" w:line="259" w:lineRule="auto"/>
        <w:rPr>
          <w:rFonts w:cs="Arial"/>
          <w:szCs w:val="24"/>
          <w:lang w:val="en-US" w:eastAsia="en-GB"/>
        </w:rPr>
      </w:pPr>
      <w:r>
        <w:rPr>
          <w:rFonts w:cs="Arial"/>
          <w:szCs w:val="24"/>
          <w:lang w:val="en-US" w:eastAsia="en-GB"/>
        </w:rPr>
        <w:br w:type="page"/>
      </w:r>
    </w:p>
    <w:p w14:paraId="5717FE17" w14:textId="77777777" w:rsidR="00AA6FE6" w:rsidRPr="00032CF3" w:rsidRDefault="00AA6FE6" w:rsidP="0080409F">
      <w:pPr>
        <w:spacing w:before="0" w:after="0" w:line="276" w:lineRule="auto"/>
        <w:jc w:val="both"/>
        <w:rPr>
          <w:rFonts w:cs="Arial"/>
          <w:szCs w:val="24"/>
          <w:lang w:val="en-US" w:eastAsia="en-GB"/>
        </w:rPr>
      </w:pPr>
    </w:p>
    <w:tbl>
      <w:tblPr>
        <w:tblStyle w:val="TableElegant"/>
        <w:tblW w:w="10173" w:type="dxa"/>
        <w:tblLook w:val="04A0" w:firstRow="1" w:lastRow="0" w:firstColumn="1" w:lastColumn="0" w:noHBand="0" w:noVBand="1"/>
      </w:tblPr>
      <w:tblGrid>
        <w:gridCol w:w="10173"/>
      </w:tblGrid>
      <w:tr w:rsidR="0080409F" w:rsidRPr="008C24A7" w14:paraId="5F1F3325" w14:textId="77777777" w:rsidTr="42490368">
        <w:trPr>
          <w:cnfStyle w:val="100000000000" w:firstRow="1" w:lastRow="0" w:firstColumn="0" w:lastColumn="0" w:oddVBand="0" w:evenVBand="0" w:oddHBand="0" w:evenHBand="0" w:firstRowFirstColumn="0" w:firstRowLastColumn="0" w:lastRowFirstColumn="0" w:lastRowLastColumn="0"/>
        </w:trPr>
        <w:tc>
          <w:tcPr>
            <w:tcW w:w="10173" w:type="dxa"/>
            <w:shd w:val="clear" w:color="auto" w:fill="F2F2F2" w:themeFill="background1" w:themeFillShade="F2"/>
          </w:tcPr>
          <w:p w14:paraId="2FDB30E9" w14:textId="77777777" w:rsidR="0080409F" w:rsidRPr="008C24A7" w:rsidRDefault="00141515" w:rsidP="00AA6B2A">
            <w:pPr>
              <w:spacing w:before="0" w:after="0" w:line="276" w:lineRule="auto"/>
              <w:jc w:val="both"/>
              <w:rPr>
                <w:rFonts w:cs="Arial"/>
                <w:b/>
                <w:caps w:val="0"/>
                <w:szCs w:val="24"/>
                <w:lang w:val="en-US" w:eastAsia="en-GB"/>
              </w:rPr>
            </w:pPr>
            <w:r w:rsidRPr="008C24A7">
              <w:rPr>
                <w:rFonts w:cs="Arial"/>
                <w:b/>
                <w:caps w:val="0"/>
                <w:szCs w:val="24"/>
                <w:lang w:val="en-US" w:eastAsia="en-GB"/>
              </w:rPr>
              <w:t>Assurance Checkpoints</w:t>
            </w:r>
          </w:p>
          <w:p w14:paraId="06F01B03" w14:textId="77777777" w:rsidR="0080409F" w:rsidRPr="008C24A7" w:rsidRDefault="0080409F" w:rsidP="00962AE5">
            <w:pPr>
              <w:pStyle w:val="ListParagraph"/>
              <w:numPr>
                <w:ilvl w:val="0"/>
                <w:numId w:val="22"/>
              </w:numPr>
              <w:spacing w:before="0" w:after="0" w:line="276" w:lineRule="auto"/>
              <w:ind w:left="456" w:hanging="425"/>
              <w:rPr>
                <w:rFonts w:ascii="Arial" w:hAnsi="Arial"/>
                <w:caps w:val="0"/>
                <w:sz w:val="24"/>
                <w:szCs w:val="24"/>
                <w:lang w:val="en-US" w:eastAsia="en-GB"/>
              </w:rPr>
            </w:pPr>
            <w:r w:rsidRPr="008C24A7">
              <w:rPr>
                <w:rFonts w:ascii="Arial" w:hAnsi="Arial"/>
                <w:caps w:val="0"/>
                <w:sz w:val="24"/>
                <w:szCs w:val="24"/>
                <w:lang w:val="en-US" w:eastAsia="en-GB"/>
              </w:rPr>
              <w:t xml:space="preserve">Privacy notice(s) </w:t>
            </w:r>
            <w:r w:rsidR="00765111" w:rsidRPr="008C24A7">
              <w:rPr>
                <w:rFonts w:ascii="Arial" w:hAnsi="Arial"/>
                <w:caps w:val="0"/>
                <w:sz w:val="24"/>
                <w:szCs w:val="24"/>
                <w:lang w:val="en-US" w:eastAsia="en-GB"/>
              </w:rPr>
              <w:t>stating what data is collected, stored, shared and retained (for how long)</w:t>
            </w:r>
            <w:r w:rsidR="00C71005" w:rsidRPr="008C24A7">
              <w:rPr>
                <w:rFonts w:ascii="Arial" w:hAnsi="Arial"/>
                <w:caps w:val="0"/>
                <w:sz w:val="24"/>
                <w:szCs w:val="24"/>
                <w:lang w:val="en-US" w:eastAsia="en-GB"/>
              </w:rPr>
              <w:t>.</w:t>
            </w:r>
            <w:r w:rsidR="00765111" w:rsidRPr="008C24A7">
              <w:rPr>
                <w:rFonts w:ascii="Arial" w:hAnsi="Arial"/>
                <w:caps w:val="0"/>
                <w:sz w:val="24"/>
                <w:szCs w:val="24"/>
                <w:lang w:val="en-US" w:eastAsia="en-GB"/>
              </w:rPr>
              <w:t xml:space="preserve"> The Privacy Notice must also </w:t>
            </w:r>
            <w:r w:rsidRPr="008C24A7">
              <w:rPr>
                <w:rFonts w:ascii="Arial" w:hAnsi="Arial"/>
                <w:caps w:val="0"/>
                <w:sz w:val="24"/>
                <w:szCs w:val="24"/>
                <w:lang w:val="en-US" w:eastAsia="en-GB"/>
              </w:rPr>
              <w:t xml:space="preserve">include information on </w:t>
            </w:r>
            <w:r w:rsidR="00224D2F" w:rsidRPr="008C24A7">
              <w:rPr>
                <w:rFonts w:ascii="Arial" w:hAnsi="Arial"/>
                <w:caps w:val="0"/>
                <w:sz w:val="24"/>
                <w:szCs w:val="24"/>
                <w:lang w:val="en-US" w:eastAsia="en-GB"/>
              </w:rPr>
              <w:t>patient preferences</w:t>
            </w:r>
          </w:p>
          <w:p w14:paraId="4448F6B1" w14:textId="77777777" w:rsidR="008C1D91" w:rsidRPr="008C24A7" w:rsidRDefault="0080409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Production of a clear plan, list of communication materials and channels </w:t>
            </w:r>
          </w:p>
          <w:p w14:paraId="3E2CAB68" w14:textId="77777777" w:rsidR="0080409F" w:rsidRPr="008C24A7" w:rsidRDefault="00224D2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C</w:t>
            </w:r>
            <w:r w:rsidR="0080409F" w:rsidRPr="008C24A7">
              <w:rPr>
                <w:rFonts w:ascii="Arial" w:hAnsi="Arial"/>
                <w:caps w:val="0"/>
                <w:sz w:val="24"/>
                <w:szCs w:val="24"/>
              </w:rPr>
              <w:t>opies of the information provided to the public/patients</w:t>
            </w:r>
          </w:p>
          <w:p w14:paraId="52B89D15" w14:textId="77777777" w:rsidR="0080409F" w:rsidRPr="008C24A7" w:rsidRDefault="0080409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Evidence of publication of transparency materials by all organisations in the LHCR</w:t>
            </w:r>
          </w:p>
          <w:p w14:paraId="0F6F027A" w14:textId="77777777" w:rsidR="0080409F" w:rsidRPr="008C24A7" w:rsidRDefault="0080409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Details of a process for monitoring and updating communications </w:t>
            </w:r>
          </w:p>
          <w:p w14:paraId="30BEBF9D" w14:textId="77777777" w:rsidR="00141515" w:rsidRPr="008C24A7" w:rsidRDefault="00141515"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Evidence of publication of information to the public such as Records of Processing, sharing agreements.</w:t>
            </w:r>
            <w:r w:rsidR="00642313" w:rsidRPr="008C24A7">
              <w:rPr>
                <w:rFonts w:ascii="Arial" w:hAnsi="Arial"/>
                <w:caps w:val="0"/>
                <w:sz w:val="24"/>
                <w:szCs w:val="24"/>
              </w:rPr>
              <w:t xml:space="preserve"> </w:t>
            </w:r>
          </w:p>
          <w:p w14:paraId="20C9B3D7" w14:textId="77777777" w:rsidR="0080409F" w:rsidRPr="008C24A7" w:rsidRDefault="008C1D91"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Adoption of online access capability and ability to demonstrate uptake (if available)</w:t>
            </w:r>
          </w:p>
          <w:p w14:paraId="750515B8" w14:textId="77777777" w:rsidR="000C5F99" w:rsidRPr="008C24A7" w:rsidRDefault="000C5F99"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Evidence of public engagement to gain their view of the approach and test materials</w:t>
            </w:r>
          </w:p>
        </w:tc>
      </w:tr>
    </w:tbl>
    <w:p w14:paraId="4AFA03A8" w14:textId="364C9578" w:rsidR="00AD24BD" w:rsidRDefault="00AD24BD" w:rsidP="00727691">
      <w:pPr>
        <w:pStyle w:val="Heading2"/>
        <w:spacing w:before="0" w:after="0" w:line="276" w:lineRule="auto"/>
        <w:rPr>
          <w:rFonts w:cs="Arial"/>
          <w:sz w:val="24"/>
          <w:szCs w:val="24"/>
        </w:rPr>
      </w:pPr>
    </w:p>
    <w:p w14:paraId="330EEDBE" w14:textId="77777777" w:rsidR="00CC7EB6" w:rsidRPr="00CC7EB6" w:rsidRDefault="00CC7EB6" w:rsidP="00CC7EB6"/>
    <w:p w14:paraId="4F09474B" w14:textId="77777777" w:rsidR="00C03CDE" w:rsidRPr="00032CF3" w:rsidRDefault="00BC6369" w:rsidP="003655FB">
      <w:pPr>
        <w:pStyle w:val="Heading2"/>
        <w:rPr>
          <w:rFonts w:cs="Arial"/>
          <w:lang w:val="en-US" w:eastAsia="en-GB"/>
        </w:rPr>
      </w:pPr>
      <w:bookmarkStart w:id="28" w:name="_Toc10223057"/>
      <w:r w:rsidRPr="00032CF3">
        <w:rPr>
          <w:rFonts w:cs="Arial"/>
        </w:rPr>
        <w:t>4.</w:t>
      </w:r>
      <w:r w:rsidR="00727691" w:rsidRPr="00032CF3">
        <w:rPr>
          <w:rFonts w:cs="Arial"/>
        </w:rPr>
        <w:t>3</w:t>
      </w:r>
      <w:r w:rsidR="000E0016" w:rsidRPr="00032CF3">
        <w:rPr>
          <w:rFonts w:cs="Arial"/>
        </w:rPr>
        <w:t xml:space="preserve"> </w:t>
      </w:r>
      <w:r w:rsidR="00421DFF" w:rsidRPr="00032CF3">
        <w:rPr>
          <w:rFonts w:cs="Arial"/>
        </w:rPr>
        <w:t>Determining data flows and</w:t>
      </w:r>
      <w:r w:rsidR="00EB2839" w:rsidRPr="00032CF3">
        <w:rPr>
          <w:rFonts w:cs="Arial"/>
        </w:rPr>
        <w:t xml:space="preserve"> </w:t>
      </w:r>
      <w:r w:rsidR="007D6396" w:rsidRPr="00032CF3">
        <w:rPr>
          <w:rFonts w:cs="Arial"/>
        </w:rPr>
        <w:t>controllership</w:t>
      </w:r>
      <w:bookmarkEnd w:id="28"/>
    </w:p>
    <w:p w14:paraId="3200D858" w14:textId="77777777" w:rsidR="00421DFF" w:rsidRDefault="00421DFF" w:rsidP="00440391">
      <w:pPr>
        <w:spacing w:before="0" w:after="0" w:line="276" w:lineRule="auto"/>
        <w:jc w:val="both"/>
        <w:rPr>
          <w:rFonts w:cs="Arial"/>
          <w:szCs w:val="24"/>
        </w:rPr>
      </w:pPr>
      <w:r w:rsidRPr="00032CF3">
        <w:rPr>
          <w:rFonts w:cs="Arial"/>
          <w:szCs w:val="24"/>
        </w:rPr>
        <w:t>One of the most important challenges in the planning stages is to identify the flow/s of the data, and at each point in the process determine who the controller/s and or processor/s</w:t>
      </w:r>
      <w:r w:rsidR="008A4B89" w:rsidRPr="00032CF3">
        <w:rPr>
          <w:rFonts w:cs="Arial"/>
          <w:szCs w:val="24"/>
        </w:rPr>
        <w:t xml:space="preserve"> are</w:t>
      </w:r>
      <w:r w:rsidRPr="00032CF3">
        <w:rPr>
          <w:rFonts w:cs="Arial"/>
          <w:szCs w:val="24"/>
        </w:rPr>
        <w:t xml:space="preserve">. This demonstrates a clear pathway to enable better risk identification and mitigation and clarity of who will have responsibility and accountability at each stage. This is particularly important when multiple joint controllers are required such as in a LHCR. </w:t>
      </w:r>
      <w:r w:rsidR="00A729AC">
        <w:rPr>
          <w:rFonts w:cs="Arial"/>
          <w:szCs w:val="24"/>
        </w:rPr>
        <w:t xml:space="preserve">  </w:t>
      </w:r>
      <w:r w:rsidRPr="00032CF3">
        <w:rPr>
          <w:rFonts w:cs="Arial"/>
          <w:szCs w:val="24"/>
        </w:rPr>
        <w:t xml:space="preserve">A data flow mapping exercise will also inform your Data Protection Impact Assessment </w:t>
      </w:r>
      <w:r w:rsidR="00F143B3" w:rsidRPr="00032CF3">
        <w:rPr>
          <w:rFonts w:cs="Arial"/>
          <w:szCs w:val="24"/>
        </w:rPr>
        <w:t xml:space="preserve">(DPIA) </w:t>
      </w:r>
      <w:r w:rsidRPr="00032CF3">
        <w:rPr>
          <w:rFonts w:cs="Arial"/>
          <w:szCs w:val="24"/>
        </w:rPr>
        <w:t>and will assist you in accessing data from other o</w:t>
      </w:r>
      <w:r w:rsidR="00121F42" w:rsidRPr="00032CF3">
        <w:rPr>
          <w:rFonts w:cs="Arial"/>
          <w:szCs w:val="24"/>
        </w:rPr>
        <w:t xml:space="preserve">rganisations such as NHS Digital.  (For guidance on controllership and flows see Appendix </w:t>
      </w:r>
      <w:r w:rsidR="00741463" w:rsidRPr="00032CF3">
        <w:rPr>
          <w:rFonts w:cs="Arial"/>
          <w:szCs w:val="24"/>
        </w:rPr>
        <w:t>H</w:t>
      </w:r>
      <w:r w:rsidR="00AA6FE6" w:rsidRPr="00032CF3">
        <w:rPr>
          <w:rFonts w:cs="Arial"/>
          <w:szCs w:val="24"/>
        </w:rPr>
        <w:t xml:space="preserve"> (4.3).</w:t>
      </w:r>
      <w:r w:rsidR="0051106F" w:rsidRPr="00032CF3">
        <w:rPr>
          <w:rFonts w:cs="Arial"/>
          <w:szCs w:val="24"/>
        </w:rPr>
        <w:t xml:space="preserve">  </w:t>
      </w:r>
    </w:p>
    <w:p w14:paraId="65788879" w14:textId="77777777" w:rsidR="00A729AC" w:rsidRDefault="00A729AC" w:rsidP="00440391">
      <w:pPr>
        <w:spacing w:before="0" w:after="0" w:line="276" w:lineRule="auto"/>
        <w:jc w:val="both"/>
        <w:rPr>
          <w:rFonts w:cs="Arial"/>
          <w:szCs w:val="24"/>
        </w:rPr>
      </w:pPr>
    </w:p>
    <w:p w14:paraId="5C18885C" w14:textId="77777777" w:rsidR="00A729AC" w:rsidRPr="00A729AC" w:rsidRDefault="00A729AC" w:rsidP="00A729AC">
      <w:pPr>
        <w:spacing w:before="0" w:after="0" w:line="276" w:lineRule="auto"/>
        <w:jc w:val="both"/>
        <w:rPr>
          <w:rFonts w:cs="Arial"/>
          <w:szCs w:val="24"/>
        </w:rPr>
      </w:pPr>
      <w:r>
        <w:rPr>
          <w:rFonts w:cs="Arial"/>
          <w:szCs w:val="24"/>
        </w:rPr>
        <w:t xml:space="preserve">Nationally we </w:t>
      </w:r>
      <w:r w:rsidR="00881C18">
        <w:rPr>
          <w:rFonts w:cs="Arial"/>
          <w:szCs w:val="24"/>
        </w:rPr>
        <w:t>have worked closely with LHCR Exemplar</w:t>
      </w:r>
      <w:r w:rsidRPr="00A729AC">
        <w:rPr>
          <w:rFonts w:cs="Arial"/>
          <w:szCs w:val="24"/>
        </w:rPr>
        <w:t xml:space="preserve"> localities to learn lessons from existing architectural approaches and, whilst LHCRs are operating to a common arc</w:t>
      </w:r>
      <w:r w:rsidR="008C24A7">
        <w:rPr>
          <w:rFonts w:cs="Arial"/>
          <w:szCs w:val="24"/>
        </w:rPr>
        <w:t>hitectural model, this is being</w:t>
      </w:r>
      <w:r w:rsidRPr="00A729AC">
        <w:rPr>
          <w:rFonts w:cs="Arial"/>
          <w:szCs w:val="24"/>
        </w:rPr>
        <w:t xml:space="preserve"> </w:t>
      </w:r>
      <w:r w:rsidR="00F71BBB">
        <w:rPr>
          <w:rFonts w:cs="Arial"/>
          <w:szCs w:val="24"/>
        </w:rPr>
        <w:t xml:space="preserve">implemented </w:t>
      </w:r>
      <w:r w:rsidRPr="00A729AC">
        <w:rPr>
          <w:rFonts w:cs="Arial"/>
          <w:szCs w:val="24"/>
        </w:rPr>
        <w:t>in differ</w:t>
      </w:r>
      <w:r w:rsidR="0079610E">
        <w:rPr>
          <w:rFonts w:cs="Arial"/>
          <w:szCs w:val="24"/>
        </w:rPr>
        <w:t>ent</w:t>
      </w:r>
      <w:r w:rsidRPr="00A729AC">
        <w:rPr>
          <w:rFonts w:cs="Arial"/>
          <w:szCs w:val="24"/>
        </w:rPr>
        <w:t xml:space="preserve"> ways. </w:t>
      </w:r>
      <w:r w:rsidR="00881C18">
        <w:rPr>
          <w:rFonts w:cs="Arial"/>
          <w:szCs w:val="24"/>
        </w:rPr>
        <w:t xml:space="preserve"> As</w:t>
      </w:r>
      <w:r w:rsidRPr="00A729AC">
        <w:rPr>
          <w:rFonts w:cs="Arial"/>
          <w:szCs w:val="24"/>
        </w:rPr>
        <w:t xml:space="preserve"> a result of differences in how data is captured at the point of care, differences in digital maturity and local coding, there is the need to be able to bring data together locally from </w:t>
      </w:r>
      <w:r w:rsidR="00881C18">
        <w:rPr>
          <w:rFonts w:cs="Arial"/>
          <w:szCs w:val="24"/>
        </w:rPr>
        <w:t>organisations</w:t>
      </w:r>
      <w:r w:rsidRPr="00A729AC">
        <w:rPr>
          <w:rFonts w:cs="Arial"/>
          <w:szCs w:val="24"/>
        </w:rPr>
        <w:t xml:space="preserve"> to process, standardise coding and handle duplicate entries.  At this stage, we believe that the creation of an abstracted data layer is the safest mechanism to ensure data is available in a normalised and standardised format, but over time we expect to move to an API-based model where data remains resident within its host system.</w:t>
      </w:r>
    </w:p>
    <w:p w14:paraId="34341BAC" w14:textId="77777777" w:rsidR="00A729AC" w:rsidRPr="00A729AC" w:rsidRDefault="00A729AC" w:rsidP="00A729AC">
      <w:pPr>
        <w:spacing w:before="0" w:after="0" w:line="276" w:lineRule="auto"/>
        <w:jc w:val="both"/>
        <w:rPr>
          <w:rFonts w:cs="Arial"/>
          <w:szCs w:val="24"/>
        </w:rPr>
      </w:pPr>
    </w:p>
    <w:p w14:paraId="4E165EB0" w14:textId="1AE7FFB5" w:rsidR="00A729AC" w:rsidRDefault="00A729AC" w:rsidP="00A729AC">
      <w:pPr>
        <w:spacing w:before="0" w:after="0" w:line="276" w:lineRule="auto"/>
        <w:jc w:val="both"/>
        <w:rPr>
          <w:rFonts w:cs="Arial"/>
          <w:szCs w:val="24"/>
        </w:rPr>
      </w:pPr>
      <w:r w:rsidRPr="00A729AC">
        <w:rPr>
          <w:rFonts w:cs="Arial"/>
          <w:szCs w:val="24"/>
        </w:rPr>
        <w:t xml:space="preserve">The objective is to provide a consolidated and standardised representation of a patient’s record for care professionals </w:t>
      </w:r>
      <w:r w:rsidR="004D03BB">
        <w:rPr>
          <w:rFonts w:cs="Arial"/>
          <w:szCs w:val="24"/>
        </w:rPr>
        <w:t xml:space="preserve">involved in the direct care of that patient </w:t>
      </w:r>
      <w:r w:rsidRPr="00A729AC">
        <w:rPr>
          <w:rFonts w:cs="Arial"/>
          <w:szCs w:val="24"/>
        </w:rPr>
        <w:t xml:space="preserve">(including, for example, consolidated medication lists, test results etc.) with confidence that </w:t>
      </w:r>
      <w:r w:rsidR="00881C18">
        <w:rPr>
          <w:rFonts w:cs="Arial"/>
          <w:szCs w:val="24"/>
        </w:rPr>
        <w:t xml:space="preserve">it </w:t>
      </w:r>
      <w:r w:rsidRPr="00A729AC">
        <w:rPr>
          <w:rFonts w:cs="Arial"/>
          <w:szCs w:val="24"/>
        </w:rPr>
        <w:t>is timely, complete and accurate. The LHCR approach will also provide a feedback loop back to source systems to support the improvement of data quality at source.  </w:t>
      </w:r>
    </w:p>
    <w:p w14:paraId="4B3B7189" w14:textId="77777777" w:rsidR="00A729AC" w:rsidRDefault="00A729AC" w:rsidP="00A729AC">
      <w:pPr>
        <w:spacing w:before="0" w:after="0" w:line="276" w:lineRule="auto"/>
        <w:jc w:val="both"/>
        <w:rPr>
          <w:rFonts w:cs="Arial"/>
          <w:szCs w:val="24"/>
        </w:rPr>
      </w:pPr>
    </w:p>
    <w:p w14:paraId="427F6851" w14:textId="08D3B763" w:rsidR="00A729AC" w:rsidRDefault="00A729AC" w:rsidP="00A729AC">
      <w:pPr>
        <w:spacing w:before="0" w:after="0" w:line="276" w:lineRule="auto"/>
        <w:jc w:val="both"/>
        <w:rPr>
          <w:rFonts w:cs="Arial"/>
          <w:szCs w:val="24"/>
        </w:rPr>
      </w:pPr>
      <w:r w:rsidRPr="00A729AC">
        <w:rPr>
          <w:rFonts w:cs="Arial"/>
          <w:szCs w:val="24"/>
        </w:rPr>
        <w:t xml:space="preserve">To support front-line care professionals in accessing the pertinent information about an individual, the Professional Records Standards Body (PRSB) are, in consultation with care professional groups, outlining what would be included within an individual’s </w:t>
      </w:r>
      <w:r w:rsidR="00CD4859">
        <w:rPr>
          <w:rFonts w:cs="Arial"/>
          <w:szCs w:val="24"/>
        </w:rPr>
        <w:t xml:space="preserve">core </w:t>
      </w:r>
      <w:r w:rsidRPr="00A729AC">
        <w:rPr>
          <w:rFonts w:cs="Arial"/>
          <w:szCs w:val="24"/>
        </w:rPr>
        <w:t>record</w:t>
      </w:r>
      <w:r>
        <w:rPr>
          <w:rFonts w:cs="Arial"/>
          <w:szCs w:val="24"/>
        </w:rPr>
        <w:t xml:space="preserve">.  </w:t>
      </w:r>
      <w:r w:rsidRPr="00A729AC">
        <w:rPr>
          <w:rFonts w:cs="Arial"/>
          <w:szCs w:val="24"/>
        </w:rPr>
        <w:t>To assist in decision-making, this core content will be developed into a standardised form e.g. enabling a care professional</w:t>
      </w:r>
      <w:r w:rsidR="001838D8">
        <w:rPr>
          <w:rFonts w:cs="Arial"/>
          <w:szCs w:val="24"/>
        </w:rPr>
        <w:t xml:space="preserve"> </w:t>
      </w:r>
      <w:r w:rsidR="001838D8">
        <w:rPr>
          <w:rFonts w:cs="Arial"/>
          <w:szCs w:val="24"/>
        </w:rPr>
        <w:t>involved in the treatment and care of a patient</w:t>
      </w:r>
      <w:r w:rsidRPr="00A729AC">
        <w:rPr>
          <w:rFonts w:cs="Arial"/>
          <w:szCs w:val="24"/>
        </w:rPr>
        <w:t xml:space="preserve"> to be able view a consolidated medication record, run algorithms to be able to identify gaps in care, proactively notify </w:t>
      </w:r>
      <w:r w:rsidR="002D43BC">
        <w:rPr>
          <w:rFonts w:cs="Arial"/>
          <w:szCs w:val="24"/>
        </w:rPr>
        <w:t xml:space="preserve">other </w:t>
      </w:r>
      <w:r w:rsidRPr="00A729AC">
        <w:rPr>
          <w:rFonts w:cs="Arial"/>
          <w:szCs w:val="24"/>
        </w:rPr>
        <w:t>care professionals and identify patients as risk</w:t>
      </w:r>
      <w:r w:rsidR="00881C18">
        <w:rPr>
          <w:rFonts w:cs="Arial"/>
          <w:szCs w:val="24"/>
        </w:rPr>
        <w:t>.</w:t>
      </w:r>
    </w:p>
    <w:p w14:paraId="2CD1B335" w14:textId="77777777" w:rsidR="00881C18" w:rsidRDefault="00881C18" w:rsidP="00A729AC">
      <w:pPr>
        <w:spacing w:before="0" w:after="0" w:line="276" w:lineRule="auto"/>
        <w:jc w:val="both"/>
        <w:rPr>
          <w:rFonts w:cs="Arial"/>
          <w:szCs w:val="24"/>
        </w:rPr>
      </w:pPr>
    </w:p>
    <w:p w14:paraId="03D4D28C" w14:textId="46DDCBD2" w:rsidR="00A729AC" w:rsidRDefault="00D0508C" w:rsidP="00440391">
      <w:pPr>
        <w:spacing w:before="0" w:after="0" w:line="276" w:lineRule="auto"/>
        <w:jc w:val="both"/>
        <w:rPr>
          <w:rFonts w:cs="Arial"/>
          <w:iCs/>
          <w:szCs w:val="24"/>
        </w:rPr>
      </w:pPr>
      <w:r>
        <w:rPr>
          <w:rFonts w:cs="Arial"/>
          <w:szCs w:val="24"/>
        </w:rPr>
        <w:t xml:space="preserve">For secondary uses rather than direct care using </w:t>
      </w:r>
      <w:r w:rsidRPr="00881C18">
        <w:rPr>
          <w:rFonts w:cs="Arial"/>
          <w:szCs w:val="24"/>
        </w:rPr>
        <w:t>a set of define</w:t>
      </w:r>
      <w:r>
        <w:rPr>
          <w:rFonts w:cs="Arial"/>
          <w:szCs w:val="24"/>
        </w:rPr>
        <w:t>d controls outlined within the Information Governance F</w:t>
      </w:r>
      <w:r w:rsidRPr="00881C18">
        <w:rPr>
          <w:rFonts w:cs="Arial"/>
          <w:szCs w:val="24"/>
        </w:rPr>
        <w:t>ramework</w:t>
      </w:r>
      <w:r>
        <w:rPr>
          <w:rFonts w:cs="Arial"/>
          <w:szCs w:val="24"/>
        </w:rPr>
        <w:t xml:space="preserve"> along with a clear legal basis</w:t>
      </w:r>
      <w:r w:rsidRPr="00881C18">
        <w:rPr>
          <w:rFonts w:cs="Arial"/>
          <w:szCs w:val="24"/>
        </w:rPr>
        <w:t xml:space="preserve">, </w:t>
      </w:r>
      <w:r w:rsidR="00A71292">
        <w:rPr>
          <w:rFonts w:cs="Arial"/>
          <w:szCs w:val="24"/>
        </w:rPr>
        <w:t>per</w:t>
      </w:r>
      <w:r w:rsidR="00881C18">
        <w:rPr>
          <w:rFonts w:cs="Arial"/>
          <w:szCs w:val="24"/>
        </w:rPr>
        <w:t xml:space="preserve">sonal/confidential patient information </w:t>
      </w:r>
      <w:r w:rsidR="00881C18" w:rsidRPr="00881C18">
        <w:rPr>
          <w:rFonts w:cs="Arial"/>
          <w:szCs w:val="24"/>
        </w:rPr>
        <w:t xml:space="preserve">will be de-identified using de-identification software procured for national use by NHS Digital and deployed locally. This will allow the LHCR to locally de-identify the longitudinal records in their area.  The longitudinal records are not transferred to NHS Digital as part of this process.  Once the data is de-identified it will be used by the LHCR for a defined set of uses e.g. with planning local services.  Use of the data beyond the LHCR will require a use case and appropriate controls/security in place to ensure that individuals cannot be re-identified.  Any use of </w:t>
      </w:r>
      <w:r w:rsidR="00881C18">
        <w:rPr>
          <w:rFonts w:cs="Arial"/>
          <w:szCs w:val="24"/>
        </w:rPr>
        <w:t>personal/</w:t>
      </w:r>
      <w:r w:rsidR="00881C18" w:rsidRPr="00881C18">
        <w:rPr>
          <w:rFonts w:cs="Arial"/>
          <w:szCs w:val="24"/>
        </w:rPr>
        <w:t>confidential patient information will require a legal basis</w:t>
      </w:r>
      <w:r w:rsidR="00881C18" w:rsidRPr="00881C18">
        <w:rPr>
          <w:rFonts w:cs="Arial"/>
          <w:i/>
          <w:iCs/>
          <w:szCs w:val="24"/>
        </w:rPr>
        <w:t xml:space="preserve">.  </w:t>
      </w:r>
      <w:r w:rsidR="00881C18" w:rsidRPr="00881C18">
        <w:rPr>
          <w:rFonts w:cs="Arial"/>
          <w:iCs/>
          <w:szCs w:val="24"/>
        </w:rPr>
        <w:t>Further information is included in journey 3 and 4 of the IG framework.</w:t>
      </w:r>
      <w:r w:rsidR="00881C18">
        <w:rPr>
          <w:rFonts w:cs="Arial"/>
          <w:iCs/>
          <w:szCs w:val="24"/>
        </w:rPr>
        <w:t xml:space="preserve">  The following diagram helps show the long term plans for data flows</w:t>
      </w:r>
      <w:r w:rsidR="005A75FF">
        <w:rPr>
          <w:rFonts w:cs="Arial"/>
          <w:iCs/>
          <w:szCs w:val="24"/>
        </w:rPr>
        <w:t>.</w:t>
      </w:r>
    </w:p>
    <w:p w14:paraId="169DF39E" w14:textId="77777777" w:rsidR="00000EAC" w:rsidRPr="00032CF3" w:rsidRDefault="00433CC8" w:rsidP="00433CC8">
      <w:pPr>
        <w:spacing w:before="0" w:after="0" w:line="276" w:lineRule="auto"/>
        <w:jc w:val="center"/>
        <w:rPr>
          <w:rFonts w:cs="Arial"/>
          <w:szCs w:val="24"/>
          <w:u w:val="single"/>
        </w:rPr>
      </w:pPr>
      <w:r w:rsidRPr="00032CF3">
        <w:rPr>
          <w:rFonts w:cs="Arial"/>
          <w:noProof/>
          <w:szCs w:val="24"/>
          <w:u w:val="single"/>
          <w:lang w:val="en-US"/>
        </w:rPr>
        <w:lastRenderedPageBreak/>
        <w:drawing>
          <wp:inline distT="0" distB="0" distL="0" distR="0" wp14:anchorId="0F57648C" wp14:editId="26B8FB5E">
            <wp:extent cx="6187440" cy="4640580"/>
            <wp:effectExtent l="0" t="0" r="381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87976" cy="4640982"/>
                    </a:xfrm>
                    <a:prstGeom prst="rect">
                      <a:avLst/>
                    </a:prstGeom>
                  </pic:spPr>
                </pic:pic>
              </a:graphicData>
            </a:graphic>
          </wp:inline>
        </w:drawing>
      </w:r>
    </w:p>
    <w:p w14:paraId="4497B510" w14:textId="77777777" w:rsidR="00433CC8" w:rsidRPr="00032CF3" w:rsidRDefault="00433CC8" w:rsidP="00000EAC">
      <w:pPr>
        <w:spacing w:before="0" w:after="0" w:line="276" w:lineRule="auto"/>
        <w:rPr>
          <w:rFonts w:cs="Arial"/>
          <w:szCs w:val="24"/>
          <w:u w:val="single"/>
        </w:rPr>
      </w:pPr>
    </w:p>
    <w:p w14:paraId="0B09F74A" w14:textId="77777777" w:rsidR="00141515" w:rsidRPr="00032CF3" w:rsidRDefault="00130A80" w:rsidP="00141515">
      <w:pPr>
        <w:pStyle w:val="Heading3"/>
        <w:rPr>
          <w:rFonts w:cs="Arial"/>
        </w:rPr>
      </w:pPr>
      <w:bookmarkStart w:id="29" w:name="_Toc10223058"/>
      <w:r w:rsidRPr="00032CF3">
        <w:rPr>
          <w:rFonts w:cs="Arial"/>
        </w:rPr>
        <w:t>4.3.1</w:t>
      </w:r>
      <w:r w:rsidRPr="00032CF3">
        <w:rPr>
          <w:rFonts w:cs="Arial"/>
        </w:rPr>
        <w:tab/>
      </w:r>
      <w:r w:rsidR="000A77E6" w:rsidRPr="00032CF3">
        <w:rPr>
          <w:rFonts w:cs="Arial"/>
        </w:rPr>
        <w:tab/>
        <w:t>Joint Controllership</w:t>
      </w:r>
      <w:bookmarkEnd w:id="29"/>
    </w:p>
    <w:p w14:paraId="18608882" w14:textId="7F27E69F" w:rsidR="006C7B62" w:rsidRPr="00032CF3" w:rsidRDefault="00455AA8" w:rsidP="0010454D">
      <w:pPr>
        <w:spacing w:before="0" w:after="0" w:line="276" w:lineRule="auto"/>
        <w:jc w:val="both"/>
        <w:rPr>
          <w:rFonts w:cs="Arial"/>
          <w:szCs w:val="24"/>
        </w:rPr>
      </w:pPr>
      <w:r>
        <w:rPr>
          <w:rFonts w:cs="Arial"/>
          <w:szCs w:val="24"/>
          <w:lang w:val="en-US"/>
        </w:rPr>
        <w:t>The GDPR/Data Protection Act 2018</w:t>
      </w:r>
      <w:r w:rsidRPr="00032CF3">
        <w:rPr>
          <w:rFonts w:cs="Arial"/>
          <w:szCs w:val="24"/>
          <w:lang w:val="en-US"/>
        </w:rPr>
        <w:t xml:space="preserve"> </w:t>
      </w:r>
      <w:r w:rsidR="00421DFF" w:rsidRPr="00032CF3">
        <w:rPr>
          <w:rFonts w:cs="Arial"/>
          <w:szCs w:val="24"/>
          <w:lang w:val="en-US"/>
        </w:rPr>
        <w:t xml:space="preserve">removes the concept of </w:t>
      </w:r>
      <w:r w:rsidR="00FF3D7D" w:rsidRPr="00032CF3">
        <w:rPr>
          <w:rFonts w:cs="Arial"/>
          <w:szCs w:val="24"/>
          <w:lang w:val="en-US"/>
        </w:rPr>
        <w:t xml:space="preserve">controllers in common. </w:t>
      </w:r>
      <w:r w:rsidR="006C7B62" w:rsidRPr="00032CF3">
        <w:rPr>
          <w:rFonts w:cs="Arial"/>
          <w:szCs w:val="24"/>
          <w:lang w:val="en-US"/>
        </w:rPr>
        <w:t xml:space="preserve">There is now a clear distinction between controllers working together as </w:t>
      </w:r>
      <w:r w:rsidR="007D7ADC">
        <w:rPr>
          <w:rFonts w:cs="Arial"/>
          <w:szCs w:val="24"/>
          <w:lang w:val="en-US"/>
        </w:rPr>
        <w:t>j</w:t>
      </w:r>
      <w:r w:rsidR="006C7B62" w:rsidRPr="00032CF3">
        <w:rPr>
          <w:rFonts w:cs="Arial"/>
          <w:szCs w:val="24"/>
          <w:lang w:val="en-US"/>
        </w:rPr>
        <w:t xml:space="preserve">oint </w:t>
      </w:r>
      <w:r w:rsidR="007D7ADC">
        <w:rPr>
          <w:rFonts w:cs="Arial"/>
          <w:szCs w:val="24"/>
          <w:lang w:val="en-US"/>
        </w:rPr>
        <w:t>c</w:t>
      </w:r>
      <w:r w:rsidR="006C7B62" w:rsidRPr="00032CF3">
        <w:rPr>
          <w:rFonts w:cs="Arial"/>
          <w:szCs w:val="24"/>
          <w:lang w:val="en-US"/>
        </w:rPr>
        <w:t>ontrollers or alone as individual controllers.</w:t>
      </w:r>
      <w:r w:rsidR="0010454D" w:rsidRPr="00032CF3">
        <w:rPr>
          <w:rFonts w:cs="Arial"/>
          <w:szCs w:val="24"/>
          <w:lang w:val="en-US"/>
        </w:rPr>
        <w:t xml:space="preserve"> </w:t>
      </w:r>
      <w:r w:rsidR="000015E2">
        <w:rPr>
          <w:rFonts w:cs="Arial"/>
          <w:szCs w:val="24"/>
          <w:lang w:val="en-US"/>
        </w:rPr>
        <w:t xml:space="preserve">Organisations </w:t>
      </w:r>
      <w:r w:rsidR="00D74468">
        <w:rPr>
          <w:rFonts w:cs="Arial"/>
          <w:szCs w:val="24"/>
          <w:lang w:val="en-US"/>
        </w:rPr>
        <w:t>working as part of a</w:t>
      </w:r>
      <w:r w:rsidR="000015E2">
        <w:rPr>
          <w:rFonts w:cs="Arial"/>
          <w:szCs w:val="24"/>
          <w:lang w:val="en-US"/>
        </w:rPr>
        <w:t xml:space="preserve"> </w:t>
      </w:r>
      <w:r w:rsidR="0010454D" w:rsidRPr="00032CF3">
        <w:rPr>
          <w:rFonts w:cs="Arial"/>
          <w:szCs w:val="24"/>
        </w:rPr>
        <w:t>LHCR</w:t>
      </w:r>
      <w:r w:rsidR="00D74468">
        <w:rPr>
          <w:rFonts w:cs="Arial"/>
          <w:szCs w:val="24"/>
        </w:rPr>
        <w:t xml:space="preserve"> </w:t>
      </w:r>
      <w:r w:rsidR="0010454D" w:rsidRPr="00032CF3">
        <w:rPr>
          <w:rFonts w:cs="Arial"/>
          <w:szCs w:val="24"/>
        </w:rPr>
        <w:t xml:space="preserve">will </w:t>
      </w:r>
      <w:r w:rsidR="00D74468">
        <w:rPr>
          <w:rFonts w:cs="Arial"/>
          <w:szCs w:val="24"/>
        </w:rPr>
        <w:t xml:space="preserve">work as </w:t>
      </w:r>
      <w:r w:rsidR="007D7ADC">
        <w:rPr>
          <w:rFonts w:cs="Arial"/>
          <w:szCs w:val="24"/>
        </w:rPr>
        <w:t>j</w:t>
      </w:r>
      <w:r w:rsidR="0010454D" w:rsidRPr="00032CF3">
        <w:rPr>
          <w:rFonts w:cs="Arial"/>
          <w:szCs w:val="24"/>
        </w:rPr>
        <w:t xml:space="preserve">oint </w:t>
      </w:r>
      <w:r w:rsidR="007D7ADC">
        <w:rPr>
          <w:rFonts w:cs="Arial"/>
          <w:szCs w:val="24"/>
        </w:rPr>
        <w:t>c</w:t>
      </w:r>
      <w:r w:rsidR="0010454D" w:rsidRPr="00032CF3">
        <w:rPr>
          <w:rFonts w:cs="Arial"/>
          <w:szCs w:val="24"/>
        </w:rPr>
        <w:t>ontrollers</w:t>
      </w:r>
      <w:r w:rsidR="008E773C">
        <w:rPr>
          <w:rFonts w:cs="Arial"/>
          <w:szCs w:val="24"/>
        </w:rPr>
        <w:t xml:space="preserve"> with other members of the LHCR areas</w:t>
      </w:r>
      <w:r w:rsidR="0010454D" w:rsidRPr="00032CF3">
        <w:rPr>
          <w:rFonts w:cs="Arial"/>
          <w:szCs w:val="24"/>
        </w:rPr>
        <w:t xml:space="preserve">, </w:t>
      </w:r>
      <w:r w:rsidR="00D74468">
        <w:rPr>
          <w:rFonts w:cs="Arial"/>
          <w:szCs w:val="24"/>
        </w:rPr>
        <w:t>because</w:t>
      </w:r>
      <w:r w:rsidR="00D74468" w:rsidRPr="00032CF3">
        <w:rPr>
          <w:rFonts w:cs="Arial"/>
          <w:szCs w:val="24"/>
        </w:rPr>
        <w:t xml:space="preserve"> </w:t>
      </w:r>
      <w:r w:rsidR="0010454D" w:rsidRPr="00032CF3">
        <w:rPr>
          <w:rFonts w:cs="Arial"/>
          <w:szCs w:val="24"/>
        </w:rPr>
        <w:t xml:space="preserve">between them they will decide on the purpose and manner </w:t>
      </w:r>
      <w:r w:rsidR="0010454D" w:rsidRPr="00947CCD">
        <w:rPr>
          <w:rFonts w:cs="Arial"/>
          <w:szCs w:val="24"/>
        </w:rPr>
        <w:t>for w</w:t>
      </w:r>
      <w:r w:rsidR="00F47393" w:rsidRPr="00947CCD">
        <w:rPr>
          <w:rFonts w:cs="Arial"/>
          <w:szCs w:val="24"/>
        </w:rPr>
        <w:t>hich personal data is collected; i</w:t>
      </w:r>
      <w:r w:rsidR="0010454D" w:rsidRPr="00947CCD">
        <w:rPr>
          <w:rFonts w:cs="Arial"/>
          <w:szCs w:val="24"/>
        </w:rPr>
        <w:t>t wil</w:t>
      </w:r>
      <w:r w:rsidR="00E6677A" w:rsidRPr="00947CCD">
        <w:rPr>
          <w:rFonts w:cs="Arial"/>
          <w:szCs w:val="24"/>
        </w:rPr>
        <w:t>l not be decided by one single o</w:t>
      </w:r>
      <w:r w:rsidR="0010454D" w:rsidRPr="00947CCD">
        <w:rPr>
          <w:rFonts w:cs="Arial"/>
          <w:szCs w:val="24"/>
        </w:rPr>
        <w:t>rganisation within the LHCR.</w:t>
      </w:r>
      <w:r w:rsidR="0010454D" w:rsidRPr="00947CCD" w:rsidDel="0010454D">
        <w:rPr>
          <w:rStyle w:val="CommentReference"/>
          <w:rFonts w:eastAsiaTheme="minorHAnsi" w:cs="Arial"/>
          <w:bCs w:val="0"/>
          <w:sz w:val="24"/>
          <w:szCs w:val="24"/>
        </w:rPr>
        <w:t xml:space="preserve"> </w:t>
      </w:r>
      <w:r w:rsidR="00C64355" w:rsidRPr="00947CCD">
        <w:rPr>
          <w:rStyle w:val="CommentReference"/>
          <w:rFonts w:eastAsiaTheme="minorHAnsi" w:cs="Arial"/>
          <w:bCs w:val="0"/>
          <w:sz w:val="24"/>
          <w:szCs w:val="24"/>
        </w:rPr>
        <w:t>As</w:t>
      </w:r>
      <w:r w:rsidR="00C64355" w:rsidRPr="00947CCD">
        <w:rPr>
          <w:rFonts w:cs="Arial"/>
          <w:szCs w:val="24"/>
          <w:lang w:val="en-US"/>
        </w:rPr>
        <w:t xml:space="preserve"> </w:t>
      </w:r>
      <w:r w:rsidR="007D7ADC" w:rsidRPr="00947CCD">
        <w:rPr>
          <w:rFonts w:cs="Arial"/>
          <w:szCs w:val="24"/>
          <w:lang w:val="en-US"/>
        </w:rPr>
        <w:t>a LHCR is not a legal entity, j</w:t>
      </w:r>
      <w:r w:rsidR="00C64355" w:rsidRPr="00947CCD">
        <w:rPr>
          <w:rFonts w:cs="Arial"/>
          <w:szCs w:val="24"/>
          <w:lang w:val="en-US"/>
        </w:rPr>
        <w:t xml:space="preserve">oint </w:t>
      </w:r>
      <w:r w:rsidR="007D7ADC" w:rsidRPr="00947CCD">
        <w:rPr>
          <w:rFonts w:cs="Arial"/>
          <w:szCs w:val="24"/>
          <w:lang w:val="en-US"/>
        </w:rPr>
        <w:t>c</w:t>
      </w:r>
      <w:r w:rsidR="00C64355" w:rsidRPr="00947CCD">
        <w:rPr>
          <w:rFonts w:cs="Arial"/>
          <w:szCs w:val="24"/>
          <w:lang w:val="en-US"/>
        </w:rPr>
        <w:t>ontrollers will need to enter into binding contracts/processing agreements with data processers as a “group” of data controllers rather than appoint a single lead data</w:t>
      </w:r>
      <w:r w:rsidR="00C64355">
        <w:rPr>
          <w:rFonts w:cs="Arial"/>
          <w:szCs w:val="24"/>
          <w:lang w:val="en-US"/>
        </w:rPr>
        <w:t xml:space="preserve"> controller to act on behalf of the group.</w:t>
      </w:r>
    </w:p>
    <w:p w14:paraId="4A61A6A9" w14:textId="77777777" w:rsidR="00896A7C" w:rsidRPr="00032CF3" w:rsidRDefault="00896A7C" w:rsidP="0010454D">
      <w:pPr>
        <w:spacing w:before="0" w:after="0" w:line="276" w:lineRule="auto"/>
        <w:rPr>
          <w:rFonts w:cs="Arial"/>
          <w:szCs w:val="24"/>
        </w:rPr>
      </w:pPr>
    </w:p>
    <w:p w14:paraId="1F438D85" w14:textId="77777777" w:rsidR="00421DFF" w:rsidRPr="00032CF3" w:rsidRDefault="00467C7B" w:rsidP="0010454D">
      <w:pPr>
        <w:spacing w:before="0" w:after="0" w:line="276" w:lineRule="auto"/>
        <w:jc w:val="both"/>
        <w:rPr>
          <w:rFonts w:cs="Arial"/>
          <w:szCs w:val="24"/>
          <w:lang w:val="en-US"/>
        </w:rPr>
      </w:pPr>
      <w:r>
        <w:rPr>
          <w:rFonts w:cs="Arial"/>
          <w:szCs w:val="24"/>
          <w:lang w:val="en-US"/>
        </w:rPr>
        <w:t>Data protection</w:t>
      </w:r>
      <w:r w:rsidRPr="00032CF3">
        <w:rPr>
          <w:rFonts w:cs="Arial"/>
          <w:szCs w:val="24"/>
          <w:lang w:val="en-US"/>
        </w:rPr>
        <w:t xml:space="preserve"> </w:t>
      </w:r>
      <w:r w:rsidR="003836BE" w:rsidRPr="00032CF3">
        <w:rPr>
          <w:rFonts w:cs="Arial"/>
          <w:szCs w:val="24"/>
          <w:lang w:val="en-US"/>
        </w:rPr>
        <w:t xml:space="preserve">legislation requires joint controllers </w:t>
      </w:r>
      <w:r w:rsidR="00421DFF" w:rsidRPr="00032CF3">
        <w:rPr>
          <w:rFonts w:cs="Arial"/>
          <w:szCs w:val="24"/>
          <w:lang w:val="en-US"/>
        </w:rPr>
        <w:t xml:space="preserve">to be transparent about their respective responsibilities </w:t>
      </w:r>
      <w:r w:rsidR="00121F42" w:rsidRPr="00032CF3">
        <w:rPr>
          <w:rFonts w:cs="Arial"/>
          <w:szCs w:val="24"/>
          <w:lang w:val="en-US"/>
        </w:rPr>
        <w:t>ensuring</w:t>
      </w:r>
      <w:r w:rsidR="00421DFF" w:rsidRPr="00032CF3">
        <w:rPr>
          <w:rFonts w:cs="Arial"/>
          <w:szCs w:val="24"/>
          <w:lang w:val="en-US"/>
        </w:rPr>
        <w:t xml:space="preserve"> that individuals know who to contact when wanting to exercise their information rights under the legislation. </w:t>
      </w:r>
      <w:r w:rsidR="006C0461" w:rsidRPr="00032CF3">
        <w:rPr>
          <w:rFonts w:cs="Arial"/>
          <w:szCs w:val="24"/>
          <w:lang w:val="en-US"/>
        </w:rPr>
        <w:t>Information about</w:t>
      </w:r>
      <w:r w:rsidR="00421DFF" w:rsidRPr="00032CF3">
        <w:rPr>
          <w:rFonts w:cs="Arial"/>
          <w:szCs w:val="24"/>
          <w:lang w:val="en-US"/>
        </w:rPr>
        <w:t xml:space="preserve"> the joint arrangements must be made </w:t>
      </w:r>
      <w:r w:rsidR="00E84A60" w:rsidRPr="00032CF3">
        <w:rPr>
          <w:rFonts w:cs="Arial"/>
          <w:szCs w:val="24"/>
          <w:lang w:val="en-US"/>
        </w:rPr>
        <w:t xml:space="preserve">to individuals and, irrespective of the joint arrangement, an individual may exercise their rights in respect of and against each controller. Therefore, good processes need to be in place to manage such situations (See </w:t>
      </w:r>
      <w:r w:rsidR="00E84A60" w:rsidRPr="00032CF3">
        <w:rPr>
          <w:rFonts w:cs="Arial"/>
          <w:szCs w:val="24"/>
        </w:rPr>
        <w:t>Appendix J – GDPR Article 26 – Joint Controllers).</w:t>
      </w:r>
    </w:p>
    <w:p w14:paraId="7D98DEE9" w14:textId="77777777" w:rsidR="006D6E03" w:rsidRPr="00032CF3" w:rsidRDefault="006D6E03" w:rsidP="005E5BB7">
      <w:pPr>
        <w:spacing w:before="0" w:after="0" w:line="276" w:lineRule="auto"/>
        <w:jc w:val="both"/>
        <w:rPr>
          <w:rFonts w:cs="Arial"/>
          <w:szCs w:val="24"/>
          <w:lang w:val="en-US"/>
        </w:rPr>
      </w:pPr>
    </w:p>
    <w:p w14:paraId="6CAC884D" w14:textId="77777777" w:rsidR="00421DFF" w:rsidRPr="00032CF3" w:rsidRDefault="00421DFF" w:rsidP="005E5BB7">
      <w:pPr>
        <w:spacing w:before="0" w:after="0" w:line="276" w:lineRule="auto"/>
        <w:jc w:val="both"/>
        <w:rPr>
          <w:rFonts w:cs="Arial"/>
          <w:szCs w:val="24"/>
          <w:lang w:val="en-US"/>
        </w:rPr>
      </w:pPr>
      <w:r w:rsidRPr="00032CF3">
        <w:rPr>
          <w:rFonts w:cs="Arial"/>
          <w:szCs w:val="24"/>
          <w:lang w:val="en-US"/>
        </w:rPr>
        <w:t>Presently the way in which the above</w:t>
      </w:r>
      <w:r w:rsidR="000A77E6" w:rsidRPr="00032CF3">
        <w:rPr>
          <w:rFonts w:cs="Arial"/>
          <w:szCs w:val="24"/>
          <w:lang w:val="en-US"/>
        </w:rPr>
        <w:t xml:space="preserve"> can be </w:t>
      </w:r>
      <w:r w:rsidR="00F10F38" w:rsidRPr="00032CF3">
        <w:rPr>
          <w:rFonts w:cs="Arial"/>
          <w:szCs w:val="24"/>
          <w:lang w:val="en-US"/>
        </w:rPr>
        <w:t xml:space="preserve">met </w:t>
      </w:r>
      <w:r w:rsidRPr="00032CF3">
        <w:rPr>
          <w:rFonts w:cs="Arial"/>
          <w:szCs w:val="24"/>
          <w:lang w:val="en-US"/>
        </w:rPr>
        <w:t xml:space="preserve">is by </w:t>
      </w:r>
      <w:r w:rsidR="00BE21F2">
        <w:rPr>
          <w:rFonts w:cs="Arial"/>
          <w:szCs w:val="24"/>
          <w:lang w:val="en-US"/>
        </w:rPr>
        <w:t xml:space="preserve">setting out an </w:t>
      </w:r>
      <w:r w:rsidR="00D172EA">
        <w:rPr>
          <w:rFonts w:cs="Arial"/>
          <w:szCs w:val="24"/>
          <w:lang w:val="en-US"/>
        </w:rPr>
        <w:t xml:space="preserve">agreement </w:t>
      </w:r>
      <w:r w:rsidR="001B64FC">
        <w:rPr>
          <w:rFonts w:cs="Arial"/>
          <w:szCs w:val="24"/>
          <w:lang w:val="en-US"/>
        </w:rPr>
        <w:t xml:space="preserve">containing the details of those involved in the joint LHCR data controllership and </w:t>
      </w:r>
      <w:r w:rsidR="00470BB1">
        <w:rPr>
          <w:rFonts w:cs="Arial"/>
          <w:szCs w:val="24"/>
          <w:lang w:val="en-US"/>
        </w:rPr>
        <w:t>how it will work (a ‘joint controller agreement</w:t>
      </w:r>
      <w:r w:rsidR="009B3C85">
        <w:rPr>
          <w:rFonts w:cs="Arial"/>
          <w:szCs w:val="24"/>
          <w:lang w:val="en-US"/>
        </w:rPr>
        <w:t>’</w:t>
      </w:r>
      <w:r w:rsidR="00470BB1">
        <w:rPr>
          <w:rFonts w:cs="Arial"/>
          <w:szCs w:val="24"/>
          <w:lang w:val="en-US"/>
        </w:rPr>
        <w:t>)</w:t>
      </w:r>
      <w:r w:rsidR="009B3C85">
        <w:rPr>
          <w:rFonts w:cs="Arial"/>
          <w:szCs w:val="24"/>
          <w:lang w:val="en-US"/>
        </w:rPr>
        <w:t>.</w:t>
      </w:r>
    </w:p>
    <w:p w14:paraId="31F5F553" w14:textId="77777777" w:rsidR="00000EAC" w:rsidRPr="00032CF3" w:rsidRDefault="00000EAC" w:rsidP="005E5BB7">
      <w:pPr>
        <w:spacing w:before="0" w:after="0" w:line="276" w:lineRule="auto"/>
        <w:jc w:val="both"/>
        <w:rPr>
          <w:rFonts w:cs="Arial"/>
          <w:szCs w:val="24"/>
          <w:lang w:val="en-US"/>
        </w:rPr>
      </w:pPr>
    </w:p>
    <w:p w14:paraId="43D134AA" w14:textId="77777777" w:rsidR="00000EAC" w:rsidRPr="00E12E4E" w:rsidRDefault="006C7B62" w:rsidP="005E5BB7">
      <w:pPr>
        <w:spacing w:before="0" w:after="0" w:line="276" w:lineRule="auto"/>
        <w:jc w:val="both"/>
        <w:rPr>
          <w:rFonts w:cs="Arial"/>
          <w:color w:val="000000" w:themeColor="text1"/>
          <w:szCs w:val="24"/>
          <w:lang w:val="en-US"/>
        </w:rPr>
      </w:pPr>
      <w:r w:rsidRPr="00032CF3">
        <w:rPr>
          <w:rFonts w:cs="Arial"/>
          <w:szCs w:val="24"/>
          <w:lang w:val="en-US"/>
        </w:rPr>
        <w:t xml:space="preserve">A </w:t>
      </w:r>
      <w:r w:rsidR="00266E94">
        <w:rPr>
          <w:rFonts w:cs="Arial"/>
          <w:szCs w:val="24"/>
          <w:lang w:val="en-US"/>
        </w:rPr>
        <w:t>joint controller agreement</w:t>
      </w:r>
      <w:r w:rsidRPr="00032CF3">
        <w:rPr>
          <w:rFonts w:cs="Arial"/>
          <w:szCs w:val="24"/>
          <w:lang w:val="en-US"/>
        </w:rPr>
        <w:t xml:space="preserve"> should be an operating model that documents the legal basis, the roles and responsibilities of each controller in the group. It should detail common rules for </w:t>
      </w:r>
      <w:r w:rsidRPr="00032CF3">
        <w:rPr>
          <w:rFonts w:cs="Arial"/>
          <w:szCs w:val="24"/>
          <w:lang w:val="en-US"/>
        </w:rPr>
        <w:lastRenderedPageBreak/>
        <w:t xml:space="preserve">things such as retention and disposal and the agreement should specifically explain who will </w:t>
      </w:r>
      <w:r w:rsidRPr="00947CCD">
        <w:rPr>
          <w:rFonts w:cs="Arial"/>
          <w:szCs w:val="24"/>
          <w:lang w:val="en-US"/>
        </w:rPr>
        <w:t xml:space="preserve">deal with requests from </w:t>
      </w:r>
      <w:r w:rsidR="00E84A60" w:rsidRPr="00E12E4E">
        <w:rPr>
          <w:rFonts w:cs="Arial"/>
          <w:color w:val="000000" w:themeColor="text1"/>
          <w:szCs w:val="24"/>
          <w:lang w:val="en-US"/>
        </w:rPr>
        <w:t>individuals</w:t>
      </w:r>
      <w:r w:rsidR="00205B46" w:rsidRPr="00E12E4E">
        <w:rPr>
          <w:rFonts w:cs="Arial"/>
          <w:color w:val="000000" w:themeColor="text1"/>
          <w:szCs w:val="24"/>
          <w:lang w:val="en-US"/>
        </w:rPr>
        <w:t xml:space="preserve"> to exercise the</w:t>
      </w:r>
      <w:r w:rsidR="00762DD5" w:rsidRPr="00E12E4E">
        <w:rPr>
          <w:rFonts w:cs="Arial"/>
          <w:color w:val="000000" w:themeColor="text1"/>
          <w:szCs w:val="24"/>
          <w:lang w:val="en-US"/>
        </w:rPr>
        <w:t>ir</w:t>
      </w:r>
      <w:r w:rsidR="00205B46" w:rsidRPr="00E12E4E">
        <w:rPr>
          <w:rFonts w:cs="Arial"/>
          <w:color w:val="000000" w:themeColor="text1"/>
          <w:szCs w:val="24"/>
          <w:lang w:val="en-US"/>
        </w:rPr>
        <w:t xml:space="preserve"> </w:t>
      </w:r>
      <w:r w:rsidR="00762DD5" w:rsidRPr="00E12E4E">
        <w:rPr>
          <w:rFonts w:cs="Arial"/>
          <w:color w:val="000000" w:themeColor="text1"/>
          <w:szCs w:val="24"/>
          <w:lang w:val="en-US"/>
        </w:rPr>
        <w:t>rights under the GDPR</w:t>
      </w:r>
      <w:r w:rsidR="005A67EE" w:rsidRPr="00E12E4E">
        <w:rPr>
          <w:rFonts w:cs="Arial"/>
          <w:color w:val="000000" w:themeColor="text1"/>
          <w:szCs w:val="24"/>
          <w:lang w:val="en-US"/>
        </w:rPr>
        <w:t>.</w:t>
      </w:r>
    </w:p>
    <w:p w14:paraId="4BDE2A7C" w14:textId="77777777" w:rsidR="001C077F" w:rsidRPr="00E12E4E" w:rsidRDefault="001C077F" w:rsidP="005E5BB7">
      <w:pPr>
        <w:spacing w:before="0" w:after="0" w:line="276" w:lineRule="auto"/>
        <w:jc w:val="both"/>
        <w:rPr>
          <w:rFonts w:cs="Arial"/>
          <w:color w:val="000000" w:themeColor="text1"/>
          <w:szCs w:val="24"/>
          <w:lang w:val="en-US"/>
        </w:rPr>
      </w:pPr>
    </w:p>
    <w:p w14:paraId="2510B0E3" w14:textId="319999C2" w:rsidR="001C077F" w:rsidRPr="00E12E4E" w:rsidRDefault="001C077F" w:rsidP="001C077F">
      <w:pPr>
        <w:spacing w:before="0" w:after="0" w:line="276" w:lineRule="auto"/>
        <w:jc w:val="both"/>
        <w:rPr>
          <w:rFonts w:cs="Arial"/>
          <w:color w:val="000000" w:themeColor="text1"/>
          <w:szCs w:val="24"/>
        </w:rPr>
      </w:pPr>
      <w:r w:rsidRPr="00E12E4E">
        <w:rPr>
          <w:rFonts w:cs="Arial"/>
          <w:iCs/>
          <w:color w:val="000000" w:themeColor="text1"/>
          <w:lang w:eastAsia="en-GB"/>
        </w:rPr>
        <w:t xml:space="preserve">As part of the joint data controllership arrangements, the constituent legal entities need to agree how they will handle access </w:t>
      </w:r>
      <w:r w:rsidR="001C3E77" w:rsidRPr="00E12E4E">
        <w:rPr>
          <w:rFonts w:cs="Arial"/>
          <w:iCs/>
          <w:color w:val="000000" w:themeColor="text1"/>
          <w:lang w:eastAsia="en-GB"/>
        </w:rPr>
        <w:t>requests,</w:t>
      </w:r>
      <w:r w:rsidRPr="00E12E4E">
        <w:rPr>
          <w:rFonts w:cs="Arial"/>
          <w:iCs/>
          <w:color w:val="000000" w:themeColor="text1"/>
          <w:lang w:eastAsia="en-GB"/>
        </w:rPr>
        <w:t xml:space="preserve"> and which includes how decisions will be made on whether or not to redact third party data.</w:t>
      </w:r>
    </w:p>
    <w:p w14:paraId="0C5EC624" w14:textId="77777777" w:rsidR="00E46641" w:rsidRPr="00E12E4E" w:rsidRDefault="00E46641" w:rsidP="00E46641">
      <w:pPr>
        <w:spacing w:before="0" w:after="0" w:line="276" w:lineRule="auto"/>
        <w:jc w:val="both"/>
        <w:rPr>
          <w:rFonts w:cs="Arial"/>
          <w:color w:val="000000" w:themeColor="text1"/>
          <w:szCs w:val="24"/>
          <w:lang w:val="en-US"/>
        </w:rPr>
      </w:pPr>
    </w:p>
    <w:p w14:paraId="2AE4061B" w14:textId="77777777" w:rsidR="00E46641" w:rsidRPr="00947CCD" w:rsidRDefault="00E46641" w:rsidP="00E46641">
      <w:pPr>
        <w:spacing w:before="0" w:after="0" w:line="276" w:lineRule="auto"/>
        <w:jc w:val="both"/>
        <w:rPr>
          <w:rFonts w:cs="Arial"/>
          <w:szCs w:val="24"/>
          <w:lang w:val="en-US"/>
        </w:rPr>
      </w:pPr>
      <w:r w:rsidRPr="00E12E4E">
        <w:rPr>
          <w:rFonts w:cs="Arial"/>
          <w:color w:val="000000" w:themeColor="text1"/>
          <w:szCs w:val="24"/>
          <w:lang w:val="en-US"/>
        </w:rPr>
        <w:t xml:space="preserve">It is important to note that a </w:t>
      </w:r>
      <w:r w:rsidR="00DF2C62" w:rsidRPr="00E12E4E">
        <w:rPr>
          <w:rFonts w:cs="Arial"/>
          <w:color w:val="000000" w:themeColor="text1"/>
          <w:szCs w:val="24"/>
          <w:lang w:val="en-US"/>
        </w:rPr>
        <w:t>‘joint controller agreement’</w:t>
      </w:r>
      <w:r w:rsidRPr="00E12E4E">
        <w:rPr>
          <w:rFonts w:cs="Arial"/>
          <w:color w:val="000000" w:themeColor="text1"/>
          <w:szCs w:val="24"/>
          <w:lang w:val="en-US"/>
        </w:rPr>
        <w:t xml:space="preserve"> is not the same as a written contract</w:t>
      </w:r>
      <w:r w:rsidR="001C17C1" w:rsidRPr="00E12E4E">
        <w:rPr>
          <w:rFonts w:cs="Arial"/>
          <w:color w:val="000000" w:themeColor="text1"/>
          <w:szCs w:val="24"/>
          <w:lang w:val="en-US"/>
        </w:rPr>
        <w:t xml:space="preserve"> or other legal act</w:t>
      </w:r>
      <w:r w:rsidRPr="00E12E4E">
        <w:rPr>
          <w:rFonts w:cs="Arial"/>
          <w:color w:val="000000" w:themeColor="text1"/>
          <w:szCs w:val="24"/>
          <w:lang w:val="en-US"/>
        </w:rPr>
        <w:t xml:space="preserve"> which is required </w:t>
      </w:r>
      <w:r w:rsidRPr="00947CCD">
        <w:rPr>
          <w:rFonts w:cs="Arial"/>
          <w:szCs w:val="24"/>
          <w:lang w:val="en-US"/>
        </w:rPr>
        <w:t>when using a processor</w:t>
      </w:r>
      <w:r w:rsidR="00DF2C62" w:rsidRPr="00947CCD">
        <w:rPr>
          <w:rFonts w:cs="Arial"/>
          <w:szCs w:val="24"/>
          <w:lang w:val="en-US"/>
        </w:rPr>
        <w:t xml:space="preserve"> (GDPR Article 28)</w:t>
      </w:r>
      <w:r w:rsidRPr="00947CCD">
        <w:rPr>
          <w:rFonts w:cs="Arial"/>
          <w:szCs w:val="24"/>
          <w:lang w:val="en-US"/>
        </w:rPr>
        <w:t xml:space="preserve">, nor is it a legal “service level agreement”. However, it would </w:t>
      </w:r>
      <w:r w:rsidR="00C066B7" w:rsidRPr="00947CCD">
        <w:rPr>
          <w:rFonts w:cs="Arial"/>
          <w:szCs w:val="24"/>
          <w:lang w:val="en-US"/>
        </w:rPr>
        <w:t xml:space="preserve">be </w:t>
      </w:r>
      <w:r w:rsidRPr="00947CCD">
        <w:rPr>
          <w:rFonts w:cs="Arial"/>
          <w:szCs w:val="24"/>
          <w:lang w:val="en-US"/>
        </w:rPr>
        <w:t>sensible that if a LHCR</w:t>
      </w:r>
      <w:r w:rsidR="00150388" w:rsidRPr="00947CCD">
        <w:rPr>
          <w:rFonts w:cs="Arial"/>
          <w:szCs w:val="24"/>
          <w:lang w:val="en-US"/>
        </w:rPr>
        <w:t>,</w:t>
      </w:r>
      <w:r w:rsidRPr="00947CCD">
        <w:rPr>
          <w:rFonts w:cs="Arial"/>
          <w:szCs w:val="24"/>
          <w:lang w:val="en-US"/>
        </w:rPr>
        <w:t xml:space="preserve"> as a grouping</w:t>
      </w:r>
      <w:r w:rsidR="00150388" w:rsidRPr="00947CCD">
        <w:rPr>
          <w:rFonts w:cs="Arial"/>
          <w:szCs w:val="24"/>
          <w:lang w:val="en-US"/>
        </w:rPr>
        <w:t>,</w:t>
      </w:r>
      <w:r w:rsidRPr="00947CCD">
        <w:rPr>
          <w:rFonts w:cs="Arial"/>
          <w:szCs w:val="24"/>
          <w:lang w:val="en-US"/>
        </w:rPr>
        <w:t xml:space="preserve"> requires a service level agreement, a </w:t>
      </w:r>
      <w:r w:rsidR="00150388" w:rsidRPr="00947CCD">
        <w:rPr>
          <w:rFonts w:cs="Arial"/>
          <w:szCs w:val="24"/>
          <w:lang w:val="en-US"/>
        </w:rPr>
        <w:t>‘joint controller agreement’</w:t>
      </w:r>
      <w:r w:rsidRPr="00947CCD">
        <w:rPr>
          <w:rFonts w:cs="Arial"/>
          <w:szCs w:val="24"/>
          <w:lang w:val="en-US"/>
        </w:rPr>
        <w:t xml:space="preserve"> and</w:t>
      </w:r>
      <w:r w:rsidR="003D55D4" w:rsidRPr="00947CCD">
        <w:rPr>
          <w:rFonts w:cs="Arial"/>
          <w:szCs w:val="24"/>
          <w:lang w:val="en-US"/>
        </w:rPr>
        <w:t>, where they are working with a processor,</w:t>
      </w:r>
      <w:r w:rsidRPr="00947CCD">
        <w:rPr>
          <w:rFonts w:cs="Arial"/>
          <w:szCs w:val="24"/>
          <w:lang w:val="en-US"/>
        </w:rPr>
        <w:t xml:space="preserve"> </w:t>
      </w:r>
      <w:r w:rsidR="003836BE" w:rsidRPr="00947CCD">
        <w:rPr>
          <w:rFonts w:cs="Arial"/>
          <w:szCs w:val="24"/>
          <w:lang w:val="en-US"/>
        </w:rPr>
        <w:t xml:space="preserve">a written contract </w:t>
      </w:r>
      <w:r w:rsidRPr="00947CCD">
        <w:rPr>
          <w:rFonts w:cs="Arial"/>
          <w:szCs w:val="24"/>
          <w:lang w:val="en-US"/>
        </w:rPr>
        <w:t>that the separate agreements are brought together into a suite of documentation as a single joint operating agreement.</w:t>
      </w:r>
    </w:p>
    <w:p w14:paraId="08CB080A" w14:textId="77777777" w:rsidR="00000EAC" w:rsidRPr="00947CCD" w:rsidRDefault="00000EAC" w:rsidP="005E5BB7">
      <w:pPr>
        <w:spacing w:before="0" w:after="0" w:line="276" w:lineRule="auto"/>
        <w:jc w:val="both"/>
        <w:rPr>
          <w:rFonts w:cs="Arial"/>
          <w:szCs w:val="24"/>
          <w:lang w:val="en-US"/>
        </w:rPr>
      </w:pPr>
    </w:p>
    <w:p w14:paraId="70000D05" w14:textId="77777777" w:rsidR="00F5040A" w:rsidRPr="00947CCD" w:rsidRDefault="00421DFF" w:rsidP="005E5BB7">
      <w:pPr>
        <w:spacing w:before="0" w:after="0" w:line="276" w:lineRule="auto"/>
        <w:jc w:val="both"/>
        <w:rPr>
          <w:rFonts w:cs="Arial"/>
          <w:szCs w:val="24"/>
          <w:lang w:val="en-US"/>
        </w:rPr>
      </w:pPr>
      <w:r w:rsidRPr="00947CCD">
        <w:rPr>
          <w:rFonts w:cs="Arial"/>
          <w:szCs w:val="24"/>
          <w:lang w:val="en-US"/>
        </w:rPr>
        <w:t>I</w:t>
      </w:r>
      <w:r w:rsidR="00901B45" w:rsidRPr="00947CCD">
        <w:rPr>
          <w:rFonts w:cs="Arial"/>
          <w:szCs w:val="24"/>
          <w:lang w:val="en-US"/>
        </w:rPr>
        <w:t xml:space="preserve">t would </w:t>
      </w:r>
      <w:r w:rsidR="00CC19B8" w:rsidRPr="00947CCD">
        <w:rPr>
          <w:rFonts w:cs="Arial"/>
          <w:szCs w:val="24"/>
          <w:lang w:val="en-US"/>
        </w:rPr>
        <w:t xml:space="preserve">also be </w:t>
      </w:r>
      <w:r w:rsidRPr="00947CCD">
        <w:rPr>
          <w:rFonts w:cs="Arial"/>
          <w:szCs w:val="24"/>
          <w:lang w:val="en-US"/>
        </w:rPr>
        <w:t xml:space="preserve">good practice to make </w:t>
      </w:r>
      <w:r w:rsidR="00B63A90" w:rsidRPr="00947CCD">
        <w:rPr>
          <w:rFonts w:cs="Arial"/>
          <w:szCs w:val="24"/>
          <w:lang w:val="en-US"/>
        </w:rPr>
        <w:t>joint controller agreement</w:t>
      </w:r>
      <w:r w:rsidR="00C62B77" w:rsidRPr="00947CCD">
        <w:rPr>
          <w:rFonts w:cs="Arial"/>
          <w:szCs w:val="24"/>
          <w:lang w:val="en-US"/>
        </w:rPr>
        <w:t>s</w:t>
      </w:r>
      <w:r w:rsidRPr="00947CCD">
        <w:rPr>
          <w:rFonts w:cs="Arial"/>
          <w:szCs w:val="24"/>
          <w:lang w:val="en-US"/>
        </w:rPr>
        <w:t xml:space="preserve"> available to the public through the participating organisation</w:t>
      </w:r>
      <w:r w:rsidR="00CC19B8" w:rsidRPr="00947CCD">
        <w:rPr>
          <w:rFonts w:cs="Arial"/>
          <w:szCs w:val="24"/>
          <w:lang w:val="en-US"/>
        </w:rPr>
        <w:t>s</w:t>
      </w:r>
      <w:r w:rsidRPr="00947CCD">
        <w:rPr>
          <w:rFonts w:cs="Arial"/>
          <w:szCs w:val="24"/>
          <w:lang w:val="en-US"/>
        </w:rPr>
        <w:t xml:space="preserve"> publication schemes</w:t>
      </w:r>
      <w:r w:rsidR="00B67987" w:rsidRPr="00947CCD">
        <w:rPr>
          <w:rFonts w:cs="Arial"/>
          <w:szCs w:val="24"/>
          <w:lang w:val="en-US"/>
        </w:rPr>
        <w:t>.</w:t>
      </w:r>
      <w:r w:rsidR="00CC19B8" w:rsidRPr="00947CCD">
        <w:rPr>
          <w:rFonts w:cs="Arial"/>
          <w:szCs w:val="24"/>
          <w:lang w:val="en-US"/>
        </w:rPr>
        <w:t xml:space="preserve"> </w:t>
      </w:r>
      <w:r w:rsidR="00B67987" w:rsidRPr="00947CCD">
        <w:rPr>
          <w:rFonts w:cs="Arial"/>
          <w:szCs w:val="24"/>
          <w:lang w:val="en-US"/>
        </w:rPr>
        <w:t>T</w:t>
      </w:r>
      <w:r w:rsidR="00CC19B8" w:rsidRPr="00947CCD">
        <w:rPr>
          <w:rFonts w:cs="Arial"/>
          <w:szCs w:val="24"/>
          <w:lang w:val="en-US"/>
        </w:rPr>
        <w:t xml:space="preserve">his would </w:t>
      </w:r>
      <w:r w:rsidR="006C0461" w:rsidRPr="00947CCD">
        <w:rPr>
          <w:rFonts w:cs="Arial"/>
          <w:szCs w:val="24"/>
          <w:lang w:val="en-US"/>
        </w:rPr>
        <w:t xml:space="preserve">help meet the duties of </w:t>
      </w:r>
      <w:r w:rsidR="00CC19B8" w:rsidRPr="00947CCD">
        <w:rPr>
          <w:rFonts w:cs="Arial"/>
          <w:szCs w:val="24"/>
          <w:lang w:val="en-US"/>
        </w:rPr>
        <w:t>accountability and transparency.</w:t>
      </w:r>
      <w:r w:rsidR="000A77E6" w:rsidRPr="00947CCD">
        <w:rPr>
          <w:rFonts w:cs="Arial"/>
          <w:szCs w:val="24"/>
          <w:lang w:val="en-US"/>
        </w:rPr>
        <w:t xml:space="preserve"> </w:t>
      </w:r>
    </w:p>
    <w:p w14:paraId="4D006B28" w14:textId="77777777" w:rsidR="007572FA" w:rsidRPr="00947CCD" w:rsidRDefault="007572FA" w:rsidP="005E5BB7">
      <w:pPr>
        <w:spacing w:before="0" w:after="0" w:line="276" w:lineRule="auto"/>
        <w:jc w:val="both"/>
        <w:rPr>
          <w:rFonts w:cs="Arial"/>
          <w:szCs w:val="24"/>
          <w:lang w:val="en-US"/>
        </w:rPr>
      </w:pPr>
    </w:p>
    <w:p w14:paraId="241BBE91" w14:textId="3665A38E" w:rsidR="00F5040A" w:rsidRDefault="007572FA" w:rsidP="005E5BB7">
      <w:pPr>
        <w:spacing w:before="0" w:after="0" w:line="276" w:lineRule="auto"/>
        <w:jc w:val="both"/>
        <w:rPr>
          <w:rFonts w:cs="Arial"/>
          <w:szCs w:val="24"/>
        </w:rPr>
      </w:pPr>
      <w:r w:rsidRPr="00947CCD">
        <w:rPr>
          <w:rFonts w:cs="Arial"/>
          <w:szCs w:val="24"/>
        </w:rPr>
        <w:t>With regards to liability joint controllers can be held “jointly liable” if collectively they are responsible for any breach of data protection law, however the ICO as the regulator will investigate to establish which organisation is at fault before using any enforcement powers, therefore not all controllers (as part of a joint controllership agreement) will be liable all of the time</w:t>
      </w:r>
      <w:r w:rsidR="00C13D56">
        <w:rPr>
          <w:rStyle w:val="FootnoteReference"/>
          <w:rFonts w:cs="Arial"/>
          <w:szCs w:val="24"/>
        </w:rPr>
        <w:footnoteReference w:id="8"/>
      </w:r>
      <w:r w:rsidRPr="00947CCD">
        <w:rPr>
          <w:rFonts w:cs="Arial"/>
          <w:szCs w:val="24"/>
        </w:rPr>
        <w:t>.</w:t>
      </w:r>
    </w:p>
    <w:p w14:paraId="576A7CC4" w14:textId="77777777" w:rsidR="001C077F" w:rsidRPr="001C077F" w:rsidRDefault="001C077F" w:rsidP="005E5BB7">
      <w:pPr>
        <w:spacing w:before="0" w:after="0" w:line="276" w:lineRule="auto"/>
        <w:jc w:val="both"/>
        <w:rPr>
          <w:rFonts w:cs="Arial"/>
          <w:szCs w:val="24"/>
        </w:rPr>
      </w:pPr>
    </w:p>
    <w:p w14:paraId="2B415EF8" w14:textId="4BBA1298" w:rsidR="00396F09" w:rsidRDefault="00396F09" w:rsidP="00413DA0">
      <w:pPr>
        <w:pStyle w:val="Heading3"/>
        <w:rPr>
          <w:lang w:val="en-US"/>
        </w:rPr>
      </w:pPr>
      <w:bookmarkStart w:id="30" w:name="_Toc10223059"/>
      <w:r w:rsidRPr="00413DA0">
        <w:rPr>
          <w:lang w:val="en-US"/>
        </w:rPr>
        <w:t>4.3.2</w:t>
      </w:r>
      <w:r w:rsidR="00706B39">
        <w:rPr>
          <w:lang w:val="en-US"/>
        </w:rPr>
        <w:tab/>
      </w:r>
      <w:r>
        <w:rPr>
          <w:lang w:val="en-US"/>
        </w:rPr>
        <w:t>Data sharing a</w:t>
      </w:r>
      <w:r w:rsidR="0058175F">
        <w:rPr>
          <w:lang w:val="en-US"/>
        </w:rPr>
        <w:t>rrangements</w:t>
      </w:r>
      <w:bookmarkEnd w:id="30"/>
    </w:p>
    <w:p w14:paraId="05E51BED" w14:textId="2FFE24F6" w:rsidR="00F5040A" w:rsidRDefault="002673F2" w:rsidP="005E5BB7">
      <w:pPr>
        <w:spacing w:before="0" w:after="0" w:line="276" w:lineRule="auto"/>
        <w:jc w:val="both"/>
        <w:rPr>
          <w:rFonts w:cs="Arial"/>
          <w:szCs w:val="24"/>
          <w:lang w:val="en-US"/>
        </w:rPr>
      </w:pPr>
      <w:r>
        <w:rPr>
          <w:rFonts w:cs="Arial"/>
          <w:szCs w:val="24"/>
          <w:lang w:val="en-US"/>
        </w:rPr>
        <w:t xml:space="preserve">LHCRs will also share </w:t>
      </w:r>
      <w:r w:rsidR="00F754F8">
        <w:rPr>
          <w:rFonts w:cs="Arial"/>
          <w:szCs w:val="24"/>
          <w:lang w:val="en-US"/>
        </w:rPr>
        <w:t>patient information with other health and care organisations that are not part of the LHCR</w:t>
      </w:r>
      <w:r w:rsidR="006545DB">
        <w:rPr>
          <w:rFonts w:cs="Arial"/>
          <w:szCs w:val="24"/>
          <w:lang w:val="en-US"/>
        </w:rPr>
        <w:t xml:space="preserve">. At times this sharing will be done on an ad-hoc basis </w:t>
      </w:r>
      <w:r w:rsidR="00991D96">
        <w:rPr>
          <w:rFonts w:cs="Arial"/>
          <w:szCs w:val="24"/>
          <w:lang w:val="en-US"/>
        </w:rPr>
        <w:t>but in some situations the sharing will be more regular and possibly at a large scale</w:t>
      </w:r>
      <w:r w:rsidR="0039258C">
        <w:rPr>
          <w:rFonts w:cs="Arial"/>
          <w:szCs w:val="24"/>
          <w:lang w:val="en-US"/>
        </w:rPr>
        <w:t xml:space="preserve"> (for example when a</w:t>
      </w:r>
      <w:r w:rsidR="003963F8">
        <w:rPr>
          <w:rFonts w:cs="Arial"/>
          <w:szCs w:val="24"/>
          <w:lang w:val="en-US"/>
        </w:rPr>
        <w:t>n adjacent</w:t>
      </w:r>
      <w:r w:rsidR="0039258C">
        <w:rPr>
          <w:rFonts w:cs="Arial"/>
          <w:szCs w:val="24"/>
          <w:lang w:val="en-US"/>
        </w:rPr>
        <w:t xml:space="preserve"> LHCR </w:t>
      </w:r>
      <w:r w:rsidR="003963F8">
        <w:rPr>
          <w:rFonts w:cs="Arial"/>
          <w:szCs w:val="24"/>
          <w:lang w:val="en-US"/>
        </w:rPr>
        <w:t>area contains specialist treatment centres)</w:t>
      </w:r>
      <w:r w:rsidR="00991D96">
        <w:rPr>
          <w:rFonts w:cs="Arial"/>
          <w:szCs w:val="24"/>
          <w:lang w:val="en-US"/>
        </w:rPr>
        <w:t xml:space="preserve">. </w:t>
      </w:r>
      <w:r w:rsidR="006F5818" w:rsidRPr="006F5818">
        <w:rPr>
          <w:rFonts w:cs="Arial"/>
          <w:szCs w:val="24"/>
          <w:lang w:val="en-US"/>
        </w:rPr>
        <w:t xml:space="preserve">The Information Commissioner's Office (ICO’s) Data Sharing Code of Practice remains current under the </w:t>
      </w:r>
      <w:r w:rsidR="003606FA">
        <w:rPr>
          <w:rFonts w:cs="Arial"/>
          <w:szCs w:val="24"/>
          <w:lang w:val="en-US"/>
        </w:rPr>
        <w:t xml:space="preserve">new data protection </w:t>
      </w:r>
      <w:r w:rsidR="006F5818" w:rsidRPr="006F5818">
        <w:rPr>
          <w:rFonts w:cs="Arial"/>
          <w:szCs w:val="24"/>
          <w:lang w:val="en-US"/>
        </w:rPr>
        <w:t>legislatio</w:t>
      </w:r>
      <w:r w:rsidR="00BE1628">
        <w:rPr>
          <w:rFonts w:cs="Arial"/>
          <w:szCs w:val="24"/>
          <w:lang w:val="en-US"/>
        </w:rPr>
        <w:t>n</w:t>
      </w:r>
      <w:r w:rsidR="006F5818" w:rsidRPr="006F5818">
        <w:rPr>
          <w:rFonts w:cs="Arial"/>
          <w:szCs w:val="24"/>
          <w:lang w:val="en-US"/>
        </w:rPr>
        <w:t>.</w:t>
      </w:r>
      <w:r w:rsidR="00BE1628">
        <w:rPr>
          <w:rFonts w:cs="Arial"/>
          <w:szCs w:val="24"/>
          <w:lang w:val="en-US"/>
        </w:rPr>
        <w:t xml:space="preserve"> The Code covers how to approach ad-hoc and more regular data sharing</w:t>
      </w:r>
      <w:r w:rsidR="003606FA">
        <w:rPr>
          <w:rFonts w:cs="Arial"/>
          <w:szCs w:val="24"/>
          <w:lang w:val="en-US"/>
        </w:rPr>
        <w:t xml:space="preserve"> and how to record activities using data sharing agreements.</w:t>
      </w:r>
      <w:r w:rsidR="006F5818" w:rsidRPr="006F5818">
        <w:rPr>
          <w:rFonts w:cs="Arial"/>
          <w:szCs w:val="24"/>
          <w:lang w:val="en-US"/>
        </w:rPr>
        <w:t xml:space="preserve">  </w:t>
      </w:r>
    </w:p>
    <w:p w14:paraId="416CFFAE" w14:textId="77777777" w:rsidR="006D6E03" w:rsidRPr="00032CF3" w:rsidRDefault="006D6E03" w:rsidP="005E5BB7">
      <w:pPr>
        <w:spacing w:before="0" w:after="0" w:line="276" w:lineRule="auto"/>
        <w:jc w:val="both"/>
        <w:rPr>
          <w:rFonts w:cs="Arial"/>
          <w:szCs w:val="24"/>
          <w:lang w:val="en-US"/>
        </w:rPr>
      </w:pPr>
      <w:bookmarkStart w:id="31" w:name="_Hlk535227445"/>
    </w:p>
    <w:p w14:paraId="0D9992FA" w14:textId="10639CE7" w:rsidR="006C7B62" w:rsidRPr="00032CF3" w:rsidRDefault="006C7B62" w:rsidP="006C7B62">
      <w:pPr>
        <w:spacing w:before="0" w:after="0" w:line="276" w:lineRule="auto"/>
        <w:jc w:val="both"/>
        <w:rPr>
          <w:rFonts w:cs="Arial"/>
          <w:szCs w:val="24"/>
          <w:lang w:val="en-US"/>
        </w:rPr>
      </w:pPr>
      <w:r w:rsidRPr="00032CF3">
        <w:rPr>
          <w:rFonts w:cs="Arial"/>
          <w:szCs w:val="24"/>
          <w:lang w:val="en-US"/>
        </w:rPr>
        <w:t xml:space="preserve">In accordance with the ICO </w:t>
      </w:r>
      <w:r w:rsidRPr="00947CCD">
        <w:rPr>
          <w:rFonts w:cs="Arial"/>
          <w:szCs w:val="24"/>
          <w:lang w:val="en-US"/>
        </w:rPr>
        <w:t xml:space="preserve">Data Sharing Code of Practice, a data sharing agreement is useful only when the ‘sharing’ is between controller to controller and </w:t>
      </w:r>
      <w:r w:rsidR="00FE6A61">
        <w:rPr>
          <w:rFonts w:cs="Arial"/>
          <w:szCs w:val="24"/>
          <w:lang w:val="en-US"/>
        </w:rPr>
        <w:t>not bet</w:t>
      </w:r>
      <w:r w:rsidR="00014738">
        <w:rPr>
          <w:rFonts w:cs="Arial"/>
          <w:szCs w:val="24"/>
          <w:lang w:val="en-US"/>
        </w:rPr>
        <w:t>ween a controller and a processor</w:t>
      </w:r>
      <w:r w:rsidRPr="00947CCD">
        <w:rPr>
          <w:rFonts w:cs="Arial"/>
          <w:szCs w:val="24"/>
          <w:lang w:val="en-US"/>
        </w:rPr>
        <w:t>.  When processors are engaged, a written contract</w:t>
      </w:r>
      <w:r w:rsidR="00E65157" w:rsidRPr="00947CCD">
        <w:rPr>
          <w:rFonts w:cs="Arial"/>
          <w:szCs w:val="24"/>
          <w:lang w:val="en-US"/>
        </w:rPr>
        <w:t xml:space="preserve"> or other legal act</w:t>
      </w:r>
      <w:r w:rsidRPr="00947CCD">
        <w:rPr>
          <w:rFonts w:cs="Arial"/>
          <w:szCs w:val="24"/>
          <w:lang w:val="en-US"/>
        </w:rPr>
        <w:t xml:space="preserve"> is always required which may be supplemented by a separate data processing agreement.</w:t>
      </w:r>
      <w:r w:rsidRPr="00032CF3">
        <w:rPr>
          <w:rFonts w:cs="Arial"/>
          <w:szCs w:val="24"/>
          <w:lang w:val="en-US"/>
        </w:rPr>
        <w:t xml:space="preserve"> </w:t>
      </w:r>
      <w:r w:rsidRPr="00032CF3">
        <w:rPr>
          <w:rFonts w:cs="Arial"/>
          <w:color w:val="FF0000"/>
          <w:szCs w:val="24"/>
          <w:lang w:val="en-US"/>
        </w:rPr>
        <w:t xml:space="preserve"> </w:t>
      </w:r>
    </w:p>
    <w:p w14:paraId="57A82F5A" w14:textId="77777777" w:rsidR="00130A80" w:rsidRPr="00032CF3" w:rsidRDefault="00130A80" w:rsidP="005E5BB7">
      <w:pPr>
        <w:spacing w:before="0" w:after="0" w:line="276" w:lineRule="auto"/>
        <w:jc w:val="both"/>
        <w:rPr>
          <w:rFonts w:cs="Arial"/>
          <w:szCs w:val="24"/>
          <w:lang w:val="en-US"/>
        </w:rPr>
      </w:pPr>
    </w:p>
    <w:bookmarkEnd w:id="31"/>
    <w:p w14:paraId="6A2D61D1" w14:textId="77777777" w:rsidR="00E6677A" w:rsidRDefault="00E6677A" w:rsidP="00241D06">
      <w:pPr>
        <w:spacing w:before="0" w:after="0" w:line="276" w:lineRule="auto"/>
        <w:jc w:val="both"/>
        <w:rPr>
          <w:rFonts w:cs="Arial"/>
          <w:szCs w:val="24"/>
        </w:rPr>
      </w:pPr>
      <w:r>
        <w:rPr>
          <w:rFonts w:cs="Arial"/>
          <w:szCs w:val="24"/>
        </w:rPr>
        <w:t>Individuals can seek compensation from joint controllers in exactly the same way as from a sole controller.  Each joint controller will be liable for the entire damage caused by the processing, unless it can prove it is not in any way responsible for the event giving rise to the damage.  The arrangement made between controllers is irrelevant for these purposes.</w:t>
      </w:r>
    </w:p>
    <w:p w14:paraId="6A0E6BC2" w14:textId="77777777" w:rsidR="00DD2458" w:rsidRPr="00CC7EB6" w:rsidRDefault="00DD2458" w:rsidP="00241D06">
      <w:pPr>
        <w:spacing w:before="0" w:after="0" w:line="276" w:lineRule="auto"/>
        <w:jc w:val="both"/>
        <w:rPr>
          <w:rFonts w:cs="Arial"/>
          <w:color w:val="000000" w:themeColor="text1"/>
          <w:szCs w:val="24"/>
        </w:rPr>
      </w:pPr>
    </w:p>
    <w:p w14:paraId="4648F3B4" w14:textId="77777777" w:rsidR="00947CCD" w:rsidRPr="00CC7EB6" w:rsidRDefault="00947CCD" w:rsidP="00947CCD">
      <w:pPr>
        <w:spacing w:before="0" w:after="0" w:line="276" w:lineRule="auto"/>
        <w:rPr>
          <w:rFonts w:cs="Arial"/>
          <w:color w:val="000000" w:themeColor="text1"/>
          <w:szCs w:val="24"/>
        </w:rPr>
      </w:pPr>
      <w:r w:rsidRPr="00CC7EB6">
        <w:rPr>
          <w:rFonts w:cs="Arial"/>
          <w:color w:val="000000" w:themeColor="text1"/>
          <w:szCs w:val="24"/>
        </w:rPr>
        <w:lastRenderedPageBreak/>
        <w:t>For tools and templates to support this section please see Appendix H (4.3)</w:t>
      </w:r>
      <w:r w:rsidR="00F758F8" w:rsidRPr="00CC7EB6">
        <w:rPr>
          <w:rFonts w:cs="Arial"/>
          <w:color w:val="000000" w:themeColor="text1"/>
          <w:szCs w:val="24"/>
        </w:rPr>
        <w:t>. This includes a decision tree regarding Data Sharing requirements.</w:t>
      </w:r>
    </w:p>
    <w:p w14:paraId="37C6EF8A" w14:textId="77777777" w:rsidR="00A9536E" w:rsidRPr="00032CF3" w:rsidRDefault="00A9536E" w:rsidP="006D6E03">
      <w:pPr>
        <w:spacing w:before="0" w:after="0" w:line="276" w:lineRule="auto"/>
        <w:jc w:val="both"/>
        <w:rPr>
          <w:rFonts w:cs="Arial"/>
          <w:szCs w:val="24"/>
          <w:lang w:val="en-US"/>
        </w:rPr>
      </w:pPr>
    </w:p>
    <w:tbl>
      <w:tblPr>
        <w:tblStyle w:val="TableElegant"/>
        <w:tblW w:w="0" w:type="auto"/>
        <w:shd w:val="clear" w:color="auto" w:fill="F2F2F2" w:themeFill="background1" w:themeFillShade="F2"/>
        <w:tblLook w:val="04A0" w:firstRow="1" w:lastRow="0" w:firstColumn="1" w:lastColumn="0" w:noHBand="0" w:noVBand="1"/>
      </w:tblPr>
      <w:tblGrid>
        <w:gridCol w:w="9734"/>
      </w:tblGrid>
      <w:tr w:rsidR="00421DFF" w:rsidRPr="008C24A7" w14:paraId="7851CFBC" w14:textId="77777777" w:rsidTr="3C8F5D8E">
        <w:trPr>
          <w:cnfStyle w:val="100000000000" w:firstRow="1" w:lastRow="0" w:firstColumn="0" w:lastColumn="0" w:oddVBand="0" w:evenVBand="0" w:oddHBand="0" w:evenHBand="0" w:firstRowFirstColumn="0" w:firstRowLastColumn="0" w:lastRowFirstColumn="0" w:lastRowLastColumn="0"/>
        </w:trPr>
        <w:tc>
          <w:tcPr>
            <w:tcW w:w="9770" w:type="dxa"/>
            <w:shd w:val="clear" w:color="auto" w:fill="F2F2F2" w:themeFill="background1" w:themeFillShade="F2"/>
          </w:tcPr>
          <w:p w14:paraId="65E05979" w14:textId="77777777" w:rsidR="00421DFF" w:rsidRPr="008C24A7" w:rsidRDefault="00421DFF" w:rsidP="00000EAC">
            <w:pPr>
              <w:spacing w:before="0" w:after="0" w:line="276" w:lineRule="auto"/>
              <w:rPr>
                <w:rFonts w:cs="Arial"/>
                <w:b/>
                <w:caps w:val="0"/>
                <w:szCs w:val="24"/>
                <w:lang w:val="en-US" w:eastAsia="en-GB"/>
              </w:rPr>
            </w:pPr>
            <w:bookmarkStart w:id="32" w:name="_Hlk535227616"/>
            <w:r w:rsidRPr="008C24A7">
              <w:rPr>
                <w:rFonts w:cs="Arial"/>
                <w:b/>
                <w:caps w:val="0"/>
                <w:szCs w:val="24"/>
                <w:lang w:val="en-US" w:eastAsia="en-GB"/>
              </w:rPr>
              <w:t xml:space="preserve">Assurance Checkpoints </w:t>
            </w:r>
          </w:p>
          <w:p w14:paraId="6AD556B7" w14:textId="77777777" w:rsidR="0061105E" w:rsidRPr="008C24A7" w:rsidRDefault="0061105E"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 xml:space="preserve">A </w:t>
            </w:r>
            <w:r w:rsidR="00141515" w:rsidRPr="008C24A7">
              <w:rPr>
                <w:rFonts w:ascii="Arial" w:hAnsi="Arial"/>
                <w:caps w:val="0"/>
                <w:sz w:val="24"/>
                <w:szCs w:val="24"/>
              </w:rPr>
              <w:t xml:space="preserve">single agreement </w:t>
            </w:r>
            <w:r w:rsidR="00D72362" w:rsidRPr="008C24A7">
              <w:rPr>
                <w:rFonts w:ascii="Arial" w:hAnsi="Arial"/>
                <w:caps w:val="0"/>
                <w:sz w:val="24"/>
                <w:szCs w:val="24"/>
              </w:rPr>
              <w:t xml:space="preserve">that will incorporate various documents as listed below: </w:t>
            </w:r>
          </w:p>
          <w:p w14:paraId="156C8991" w14:textId="77777777" w:rsidR="00DF3AC1" w:rsidRPr="008C24A7" w:rsidRDefault="00DF3AC1"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Data Sharing Agreements/Protocols for the grouping</w:t>
            </w:r>
          </w:p>
          <w:p w14:paraId="7FE6467B" w14:textId="77777777" w:rsidR="0061105E" w:rsidRPr="008C24A7" w:rsidRDefault="0061105E"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 xml:space="preserve">A written contract between the grouping and the processor/s </w:t>
            </w:r>
          </w:p>
          <w:p w14:paraId="402ACF79" w14:textId="77777777" w:rsidR="00732581" w:rsidRPr="008C24A7" w:rsidRDefault="00421DFF"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 xml:space="preserve">A clear data processing map showing purpose and </w:t>
            </w:r>
            <w:r w:rsidR="000A4B7B" w:rsidRPr="008C24A7">
              <w:rPr>
                <w:rFonts w:ascii="Arial" w:hAnsi="Arial"/>
                <w:caps w:val="0"/>
                <w:sz w:val="24"/>
                <w:szCs w:val="24"/>
              </w:rPr>
              <w:t>controller and processor</w:t>
            </w:r>
            <w:r w:rsidRPr="008C24A7">
              <w:rPr>
                <w:rFonts w:ascii="Arial" w:hAnsi="Arial"/>
                <w:caps w:val="0"/>
                <w:sz w:val="24"/>
                <w:szCs w:val="24"/>
              </w:rPr>
              <w:t xml:space="preserve"> at each stage of data flow.</w:t>
            </w:r>
          </w:p>
          <w:p w14:paraId="45663949" w14:textId="77777777" w:rsidR="00421DFF" w:rsidRPr="008C24A7" w:rsidRDefault="0046266F"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S</w:t>
            </w:r>
            <w:r w:rsidR="00421DFF" w:rsidRPr="008C24A7">
              <w:rPr>
                <w:rFonts w:ascii="Arial" w:hAnsi="Arial"/>
                <w:caps w:val="0"/>
                <w:sz w:val="24"/>
                <w:szCs w:val="24"/>
              </w:rPr>
              <w:t>ervice level agreements</w:t>
            </w:r>
          </w:p>
          <w:p w14:paraId="7DB087AC" w14:textId="77777777" w:rsidR="00CD4BDB" w:rsidRPr="008C24A7" w:rsidRDefault="00A270D9" w:rsidP="00962AE5">
            <w:pPr>
              <w:pStyle w:val="ListParagraph"/>
              <w:numPr>
                <w:ilvl w:val="1"/>
                <w:numId w:val="14"/>
              </w:numPr>
              <w:tabs>
                <w:tab w:val="clear" w:pos="4890"/>
              </w:tabs>
              <w:autoSpaceDN w:val="0"/>
              <w:spacing w:before="0" w:after="0" w:line="276" w:lineRule="auto"/>
              <w:contextualSpacing w:val="0"/>
              <w:jc w:val="left"/>
              <w:rPr>
                <w:rFonts w:ascii="Arial" w:hAnsi="Arial"/>
                <w:caps w:val="0"/>
                <w:sz w:val="24"/>
                <w:szCs w:val="24"/>
              </w:rPr>
            </w:pPr>
            <w:r w:rsidRPr="008C24A7">
              <w:rPr>
                <w:rFonts w:ascii="Arial" w:hAnsi="Arial"/>
                <w:caps w:val="0"/>
                <w:sz w:val="24"/>
                <w:szCs w:val="24"/>
              </w:rPr>
              <w:t>Standard contract clauses</w:t>
            </w:r>
          </w:p>
        </w:tc>
      </w:tr>
      <w:bookmarkEnd w:id="32"/>
    </w:tbl>
    <w:p w14:paraId="759B620B" w14:textId="77777777" w:rsidR="00000EAC" w:rsidRDefault="00000EAC" w:rsidP="00000EAC">
      <w:pPr>
        <w:spacing w:before="0" w:after="0" w:line="276" w:lineRule="auto"/>
        <w:rPr>
          <w:rFonts w:cs="Arial"/>
          <w:szCs w:val="24"/>
          <w:lang w:val="en-US" w:eastAsia="en-GB"/>
        </w:rPr>
      </w:pPr>
    </w:p>
    <w:p w14:paraId="650D3ED9" w14:textId="77777777" w:rsidR="00E50720" w:rsidRPr="00032CF3" w:rsidRDefault="00E50720" w:rsidP="00000EAC">
      <w:pPr>
        <w:spacing w:before="0" w:after="0" w:line="276" w:lineRule="auto"/>
        <w:rPr>
          <w:rFonts w:cs="Arial"/>
          <w:szCs w:val="24"/>
          <w:lang w:val="en-US" w:eastAsia="en-GB"/>
        </w:rPr>
      </w:pPr>
    </w:p>
    <w:p w14:paraId="4830F89A" w14:textId="77777777" w:rsidR="006C7B62" w:rsidRPr="00032CF3" w:rsidRDefault="006C7B62">
      <w:pPr>
        <w:pStyle w:val="Heading2"/>
        <w:rPr>
          <w:rFonts w:cs="Arial"/>
          <w:szCs w:val="24"/>
          <w:u w:val="single"/>
        </w:rPr>
      </w:pPr>
      <w:bookmarkStart w:id="33" w:name="_Toc10223060"/>
      <w:r w:rsidRPr="00032CF3">
        <w:rPr>
          <w:rFonts w:cs="Arial"/>
          <w:lang w:val="en-US" w:eastAsia="en-GB"/>
        </w:rPr>
        <w:t>4.4 Records of Processing Activity Art.30</w:t>
      </w:r>
      <w:bookmarkEnd w:id="33"/>
    </w:p>
    <w:p w14:paraId="19BE09C2" w14:textId="77777777" w:rsidR="00E6677A" w:rsidRDefault="00BF4BF6">
      <w:pPr>
        <w:spacing w:before="0" w:after="0" w:line="276" w:lineRule="auto"/>
        <w:jc w:val="both"/>
        <w:rPr>
          <w:rFonts w:cs="Arial"/>
          <w:szCs w:val="24"/>
        </w:rPr>
      </w:pPr>
      <w:r>
        <w:rPr>
          <w:rFonts w:cs="Arial"/>
          <w:szCs w:val="24"/>
        </w:rPr>
        <w:t xml:space="preserve">Data protection </w:t>
      </w:r>
      <w:r w:rsidR="00A270D9" w:rsidRPr="00032CF3">
        <w:rPr>
          <w:rFonts w:cs="Arial"/>
          <w:szCs w:val="24"/>
        </w:rPr>
        <w:t xml:space="preserve">legislation requires </w:t>
      </w:r>
      <w:r>
        <w:rPr>
          <w:rFonts w:cs="Arial"/>
          <w:szCs w:val="24"/>
        </w:rPr>
        <w:t>r</w:t>
      </w:r>
      <w:r w:rsidR="00A270D9" w:rsidRPr="00032CF3">
        <w:rPr>
          <w:rFonts w:cs="Arial"/>
          <w:szCs w:val="24"/>
        </w:rPr>
        <w:t xml:space="preserve">ecords of </w:t>
      </w:r>
      <w:r w:rsidR="00502286">
        <w:rPr>
          <w:rFonts w:cs="Arial"/>
          <w:szCs w:val="24"/>
        </w:rPr>
        <w:t>p</w:t>
      </w:r>
      <w:r w:rsidR="00A270D9" w:rsidRPr="00032CF3">
        <w:rPr>
          <w:rFonts w:cs="Arial"/>
          <w:szCs w:val="24"/>
        </w:rPr>
        <w:t xml:space="preserve">rocessing </w:t>
      </w:r>
      <w:r w:rsidR="00502286">
        <w:rPr>
          <w:rFonts w:cs="Arial"/>
          <w:szCs w:val="24"/>
        </w:rPr>
        <w:t>a</w:t>
      </w:r>
      <w:r w:rsidR="00A270D9" w:rsidRPr="00032CF3">
        <w:rPr>
          <w:rFonts w:cs="Arial"/>
          <w:szCs w:val="24"/>
        </w:rPr>
        <w:t>ctivities</w:t>
      </w:r>
      <w:r w:rsidR="00502286">
        <w:rPr>
          <w:rFonts w:cs="Arial"/>
          <w:szCs w:val="24"/>
        </w:rPr>
        <w:t xml:space="preserve"> to be kept.</w:t>
      </w:r>
      <w:r w:rsidR="00E6677A">
        <w:rPr>
          <w:rFonts w:cs="Arial"/>
          <w:szCs w:val="24"/>
        </w:rPr>
        <w:t xml:space="preserve"> The</w:t>
      </w:r>
      <w:r w:rsidR="0093735E">
        <w:rPr>
          <w:rFonts w:cs="Arial"/>
          <w:szCs w:val="24"/>
        </w:rPr>
        <w:t>se</w:t>
      </w:r>
      <w:r w:rsidR="00E6677A">
        <w:rPr>
          <w:rFonts w:cs="Arial"/>
          <w:szCs w:val="24"/>
        </w:rPr>
        <w:t xml:space="preserve"> </w:t>
      </w:r>
      <w:r w:rsidR="0093735E">
        <w:rPr>
          <w:rFonts w:cs="Arial"/>
          <w:szCs w:val="24"/>
        </w:rPr>
        <w:t>r</w:t>
      </w:r>
      <w:r w:rsidR="006F36C4">
        <w:rPr>
          <w:rFonts w:cs="Arial"/>
          <w:szCs w:val="24"/>
        </w:rPr>
        <w:t xml:space="preserve">ecords </w:t>
      </w:r>
      <w:r w:rsidR="00E6677A">
        <w:rPr>
          <w:rFonts w:cs="Arial"/>
          <w:szCs w:val="24"/>
        </w:rPr>
        <w:t>must</w:t>
      </w:r>
      <w:r w:rsidR="00E6677A" w:rsidRPr="00032CF3">
        <w:rPr>
          <w:rFonts w:cs="Arial"/>
          <w:szCs w:val="24"/>
        </w:rPr>
        <w:t xml:space="preserve"> </w:t>
      </w:r>
      <w:r w:rsidR="00E6677A">
        <w:rPr>
          <w:rFonts w:cs="Arial"/>
          <w:szCs w:val="24"/>
        </w:rPr>
        <w:t xml:space="preserve">be </w:t>
      </w:r>
      <w:r w:rsidR="00E6677A" w:rsidRPr="00032CF3">
        <w:rPr>
          <w:rFonts w:cs="Arial"/>
          <w:szCs w:val="24"/>
        </w:rPr>
        <w:t xml:space="preserve">kept up to date by </w:t>
      </w:r>
      <w:r w:rsidR="00E6677A">
        <w:rPr>
          <w:rFonts w:cs="Arial"/>
          <w:szCs w:val="24"/>
        </w:rPr>
        <w:t>controllers and processors as the</w:t>
      </w:r>
      <w:r w:rsidR="0093735E">
        <w:rPr>
          <w:rFonts w:cs="Arial"/>
          <w:szCs w:val="24"/>
        </w:rPr>
        <w:t>y</w:t>
      </w:r>
      <w:r w:rsidR="00E6677A">
        <w:rPr>
          <w:rFonts w:cs="Arial"/>
          <w:szCs w:val="24"/>
        </w:rPr>
        <w:t xml:space="preserve"> can be requested by the supervisory authority at any time. R</w:t>
      </w:r>
      <w:r w:rsidR="006F36C4">
        <w:rPr>
          <w:rFonts w:cs="Arial"/>
          <w:szCs w:val="24"/>
        </w:rPr>
        <w:t xml:space="preserve">ecords </w:t>
      </w:r>
      <w:r w:rsidR="00E6677A">
        <w:rPr>
          <w:rFonts w:cs="Arial"/>
          <w:szCs w:val="24"/>
        </w:rPr>
        <w:t>o</w:t>
      </w:r>
      <w:r w:rsidR="006F36C4">
        <w:rPr>
          <w:rFonts w:cs="Arial"/>
          <w:szCs w:val="24"/>
        </w:rPr>
        <w:t xml:space="preserve">f </w:t>
      </w:r>
      <w:r w:rsidR="007248A0">
        <w:rPr>
          <w:rFonts w:cs="Arial"/>
          <w:szCs w:val="24"/>
        </w:rPr>
        <w:t xml:space="preserve">processing activity </w:t>
      </w:r>
      <w:r w:rsidR="00E6677A">
        <w:rPr>
          <w:rFonts w:cs="Arial"/>
          <w:szCs w:val="24"/>
        </w:rPr>
        <w:t xml:space="preserve">can be linked to privacy notices for ease of transparency. </w:t>
      </w:r>
    </w:p>
    <w:p w14:paraId="2A891AD7" w14:textId="77777777" w:rsidR="00E6677A" w:rsidRDefault="00E6677A" w:rsidP="00A270D9">
      <w:pPr>
        <w:spacing w:before="0" w:after="0" w:line="276" w:lineRule="auto"/>
        <w:jc w:val="both"/>
        <w:rPr>
          <w:rFonts w:cs="Arial"/>
          <w:szCs w:val="24"/>
        </w:rPr>
      </w:pPr>
    </w:p>
    <w:p w14:paraId="68D768E5" w14:textId="77777777" w:rsidR="00A270D9" w:rsidRPr="00032CF3" w:rsidRDefault="00E6677A" w:rsidP="00A270D9">
      <w:pPr>
        <w:spacing w:before="0" w:after="0" w:line="276" w:lineRule="auto"/>
        <w:jc w:val="both"/>
        <w:rPr>
          <w:rFonts w:cs="Arial"/>
          <w:szCs w:val="24"/>
        </w:rPr>
      </w:pPr>
      <w:r>
        <w:rPr>
          <w:rFonts w:cs="Arial"/>
          <w:szCs w:val="24"/>
        </w:rPr>
        <w:t>From the</w:t>
      </w:r>
      <w:r w:rsidR="006F36C4">
        <w:rPr>
          <w:rFonts w:cs="Arial"/>
          <w:szCs w:val="24"/>
        </w:rPr>
        <w:t xml:space="preserve"> </w:t>
      </w:r>
      <w:r w:rsidR="00923D76">
        <w:rPr>
          <w:rFonts w:cs="Arial"/>
          <w:szCs w:val="24"/>
        </w:rPr>
        <w:t>r</w:t>
      </w:r>
      <w:r w:rsidR="006F36C4">
        <w:rPr>
          <w:rFonts w:cs="Arial"/>
          <w:szCs w:val="24"/>
        </w:rPr>
        <w:t xml:space="preserve">ecords </w:t>
      </w:r>
      <w:r>
        <w:rPr>
          <w:rFonts w:cs="Arial"/>
          <w:szCs w:val="24"/>
        </w:rPr>
        <w:t>o</w:t>
      </w:r>
      <w:r w:rsidR="006F36C4">
        <w:rPr>
          <w:rFonts w:cs="Arial"/>
          <w:szCs w:val="24"/>
        </w:rPr>
        <w:t xml:space="preserve">f </w:t>
      </w:r>
      <w:r w:rsidR="00923D76">
        <w:rPr>
          <w:rFonts w:cs="Arial"/>
          <w:szCs w:val="24"/>
        </w:rPr>
        <w:t>p</w:t>
      </w:r>
      <w:r w:rsidR="006F36C4">
        <w:rPr>
          <w:rFonts w:cs="Arial"/>
          <w:szCs w:val="24"/>
        </w:rPr>
        <w:t xml:space="preserve">rocessing </w:t>
      </w:r>
      <w:r w:rsidR="00923D76">
        <w:rPr>
          <w:rFonts w:cs="Arial"/>
          <w:szCs w:val="24"/>
        </w:rPr>
        <w:t>a</w:t>
      </w:r>
      <w:r w:rsidR="006F36C4">
        <w:rPr>
          <w:rFonts w:cs="Arial"/>
          <w:szCs w:val="24"/>
        </w:rPr>
        <w:t>ctivity,</w:t>
      </w:r>
      <w:r>
        <w:rPr>
          <w:rFonts w:cs="Arial"/>
          <w:szCs w:val="24"/>
        </w:rPr>
        <w:t xml:space="preserve"> </w:t>
      </w:r>
      <w:r w:rsidR="00A270D9" w:rsidRPr="00032CF3">
        <w:rPr>
          <w:rFonts w:cs="Arial"/>
          <w:szCs w:val="24"/>
        </w:rPr>
        <w:t xml:space="preserve">organisations will be able to </w:t>
      </w:r>
      <w:r>
        <w:rPr>
          <w:rFonts w:cs="Arial"/>
          <w:szCs w:val="24"/>
        </w:rPr>
        <w:t xml:space="preserve">build upon and </w:t>
      </w:r>
      <w:r w:rsidR="00A270D9" w:rsidRPr="00032CF3">
        <w:rPr>
          <w:rFonts w:cs="Arial"/>
          <w:szCs w:val="24"/>
        </w:rPr>
        <w:t xml:space="preserve">manage a comprehensive register of information assets and their owners, showing when, why and how that data is </w:t>
      </w:r>
      <w:r w:rsidR="00B53CC0" w:rsidRPr="00032CF3">
        <w:rPr>
          <w:rFonts w:cs="Arial"/>
          <w:szCs w:val="24"/>
        </w:rPr>
        <w:t xml:space="preserve">processed for what purposes, </w:t>
      </w:r>
      <w:r w:rsidR="00E65E42" w:rsidRPr="00032CF3">
        <w:rPr>
          <w:rFonts w:cs="Arial"/>
          <w:szCs w:val="24"/>
        </w:rPr>
        <w:t>with whom it is shared and retention periods</w:t>
      </w:r>
      <w:r w:rsidR="00B53CC0" w:rsidRPr="00032CF3">
        <w:rPr>
          <w:rFonts w:cs="Arial"/>
          <w:szCs w:val="24"/>
        </w:rPr>
        <w:t>.</w:t>
      </w:r>
      <w:r w:rsidR="006408ED" w:rsidRPr="00032CF3">
        <w:rPr>
          <w:rFonts w:cs="Arial"/>
          <w:szCs w:val="24"/>
        </w:rPr>
        <w:t xml:space="preserve"> </w:t>
      </w:r>
      <w:r w:rsidR="00A270D9" w:rsidRPr="00032CF3">
        <w:rPr>
          <w:rFonts w:cs="Arial"/>
          <w:szCs w:val="24"/>
        </w:rPr>
        <w:t xml:space="preserve">The registers should be monitored, reviewed and maintained on a regular basis.  </w:t>
      </w:r>
    </w:p>
    <w:p w14:paraId="2ADFFB46" w14:textId="77777777" w:rsidR="00A270D9" w:rsidRPr="00032CF3" w:rsidRDefault="00A270D9" w:rsidP="00A270D9">
      <w:pPr>
        <w:spacing w:before="0" w:after="0" w:line="276" w:lineRule="auto"/>
        <w:jc w:val="both"/>
        <w:rPr>
          <w:rFonts w:cs="Arial"/>
          <w:szCs w:val="24"/>
        </w:rPr>
      </w:pPr>
    </w:p>
    <w:p w14:paraId="6DB77D5A" w14:textId="77777777" w:rsidR="00A9536E" w:rsidRPr="00032CF3" w:rsidRDefault="00FB68CF" w:rsidP="00A9536E">
      <w:pPr>
        <w:spacing w:before="0" w:after="0" w:line="276" w:lineRule="auto"/>
        <w:rPr>
          <w:rFonts w:cs="Arial"/>
          <w:szCs w:val="24"/>
        </w:rPr>
      </w:pPr>
      <w:r w:rsidRPr="00032CF3">
        <w:rPr>
          <w:rFonts w:cs="Arial"/>
          <w:szCs w:val="24"/>
        </w:rPr>
        <w:t>Where possible the registers should be released through the organisations’ publication schemes.  Publication will assist in demonstrating accountability.</w:t>
      </w:r>
      <w:r w:rsidR="00B86B94">
        <w:rPr>
          <w:rFonts w:cs="Arial"/>
          <w:szCs w:val="24"/>
        </w:rPr>
        <w:t xml:space="preserve"> </w:t>
      </w:r>
      <w:r w:rsidR="00A9536E" w:rsidRPr="00032CF3">
        <w:rPr>
          <w:rFonts w:cs="Arial"/>
          <w:szCs w:val="24"/>
        </w:rPr>
        <w:t xml:space="preserve">For </w:t>
      </w:r>
      <w:r w:rsidR="008C14E3" w:rsidRPr="00032CF3">
        <w:rPr>
          <w:rFonts w:cs="Arial"/>
          <w:szCs w:val="24"/>
        </w:rPr>
        <w:t>t</w:t>
      </w:r>
      <w:r w:rsidR="00A9536E" w:rsidRPr="00032CF3">
        <w:rPr>
          <w:rFonts w:cs="Arial"/>
          <w:szCs w:val="24"/>
        </w:rPr>
        <w:t>ools and templates to support th</w:t>
      </w:r>
      <w:r w:rsidR="00741463" w:rsidRPr="00032CF3">
        <w:rPr>
          <w:rFonts w:cs="Arial"/>
          <w:szCs w:val="24"/>
        </w:rPr>
        <w:t>is section please see Appendix H</w:t>
      </w:r>
      <w:r w:rsidR="00A9536E" w:rsidRPr="00032CF3">
        <w:rPr>
          <w:rFonts w:cs="Arial"/>
          <w:szCs w:val="24"/>
        </w:rPr>
        <w:t xml:space="preserve"> (4.4).</w:t>
      </w:r>
    </w:p>
    <w:p w14:paraId="3350C621" w14:textId="77777777" w:rsidR="00AE2A94" w:rsidRPr="00032CF3" w:rsidRDefault="00AE2A94" w:rsidP="00A270D9">
      <w:pPr>
        <w:spacing w:before="0" w:after="0" w:line="276" w:lineRule="auto"/>
        <w:jc w:val="both"/>
        <w:rPr>
          <w:rFonts w:cs="Arial"/>
          <w:szCs w:val="24"/>
        </w:rPr>
      </w:pPr>
    </w:p>
    <w:tbl>
      <w:tblPr>
        <w:tblStyle w:val="TableElegant"/>
        <w:tblW w:w="0" w:type="auto"/>
        <w:tblLook w:val="04A0" w:firstRow="1" w:lastRow="0" w:firstColumn="1" w:lastColumn="0" w:noHBand="0" w:noVBand="1"/>
      </w:tblPr>
      <w:tblGrid>
        <w:gridCol w:w="9734"/>
      </w:tblGrid>
      <w:tr w:rsidR="00A270D9" w:rsidRPr="008C24A7" w14:paraId="5A872538" w14:textId="77777777" w:rsidTr="003D6276">
        <w:trPr>
          <w:cnfStyle w:val="100000000000" w:firstRow="1" w:lastRow="0" w:firstColumn="0" w:lastColumn="0" w:oddVBand="0" w:evenVBand="0" w:oddHBand="0" w:evenHBand="0" w:firstRowFirstColumn="0" w:firstRowLastColumn="0" w:lastRowFirstColumn="0" w:lastRowLastColumn="0"/>
        </w:trPr>
        <w:tc>
          <w:tcPr>
            <w:tcW w:w="9770" w:type="dxa"/>
            <w:shd w:val="clear" w:color="auto" w:fill="F2F2F2" w:themeFill="background1" w:themeFillShade="F2"/>
          </w:tcPr>
          <w:p w14:paraId="3CCDB123" w14:textId="77777777" w:rsidR="00A270D9" w:rsidRPr="008C24A7" w:rsidRDefault="00A270D9" w:rsidP="00AA6B2A">
            <w:pPr>
              <w:spacing w:before="0" w:after="0" w:line="276" w:lineRule="auto"/>
              <w:jc w:val="both"/>
              <w:rPr>
                <w:rFonts w:cs="Arial"/>
                <w:b/>
                <w:caps w:val="0"/>
                <w:szCs w:val="24"/>
                <w:lang w:val="en-US" w:eastAsia="en-GB"/>
              </w:rPr>
            </w:pPr>
            <w:r w:rsidRPr="008C24A7">
              <w:rPr>
                <w:rFonts w:cs="Arial"/>
                <w:b/>
                <w:caps w:val="0"/>
                <w:szCs w:val="24"/>
                <w:lang w:val="en-US" w:eastAsia="en-GB"/>
              </w:rPr>
              <w:t>Assurance Checkpoints</w:t>
            </w:r>
          </w:p>
          <w:p w14:paraId="3A115AB1" w14:textId="77777777" w:rsidR="00A270D9" w:rsidRPr="008C24A7" w:rsidRDefault="00B40153" w:rsidP="00962AE5">
            <w:pPr>
              <w:numPr>
                <w:ilvl w:val="0"/>
                <w:numId w:val="14"/>
              </w:numPr>
              <w:autoSpaceDN w:val="0"/>
              <w:spacing w:before="0" w:after="0" w:line="276" w:lineRule="auto"/>
              <w:ind w:left="426"/>
              <w:rPr>
                <w:rFonts w:eastAsiaTheme="minorHAnsi" w:cs="Arial"/>
                <w:bCs w:val="0"/>
                <w:caps w:val="0"/>
                <w:szCs w:val="24"/>
              </w:rPr>
            </w:pPr>
            <w:r w:rsidRPr="008C24A7">
              <w:rPr>
                <w:rFonts w:eastAsiaTheme="minorHAnsi" w:cs="Arial"/>
                <w:bCs w:val="0"/>
                <w:caps w:val="0"/>
                <w:szCs w:val="24"/>
              </w:rPr>
              <w:t>R</w:t>
            </w:r>
            <w:r w:rsidR="006F36C4" w:rsidRPr="008C24A7">
              <w:rPr>
                <w:rFonts w:eastAsiaTheme="minorHAnsi" w:cs="Arial"/>
                <w:bCs w:val="0"/>
                <w:caps w:val="0"/>
                <w:szCs w:val="24"/>
              </w:rPr>
              <w:t xml:space="preserve">ecords </w:t>
            </w:r>
            <w:r w:rsidRPr="008C24A7">
              <w:rPr>
                <w:rFonts w:eastAsiaTheme="minorHAnsi" w:cs="Arial"/>
                <w:bCs w:val="0"/>
                <w:caps w:val="0"/>
                <w:szCs w:val="24"/>
              </w:rPr>
              <w:t>o</w:t>
            </w:r>
            <w:r w:rsidR="006F36C4" w:rsidRPr="008C24A7">
              <w:rPr>
                <w:rFonts w:eastAsiaTheme="minorHAnsi" w:cs="Arial"/>
                <w:bCs w:val="0"/>
                <w:caps w:val="0"/>
                <w:szCs w:val="24"/>
              </w:rPr>
              <w:t xml:space="preserve">f </w:t>
            </w:r>
            <w:r w:rsidRPr="008C24A7">
              <w:rPr>
                <w:rFonts w:eastAsiaTheme="minorHAnsi" w:cs="Arial"/>
                <w:bCs w:val="0"/>
                <w:caps w:val="0"/>
                <w:szCs w:val="24"/>
              </w:rPr>
              <w:t>P</w:t>
            </w:r>
            <w:r w:rsidR="006F36C4" w:rsidRPr="008C24A7">
              <w:rPr>
                <w:rFonts w:eastAsiaTheme="minorHAnsi" w:cs="Arial"/>
                <w:bCs w:val="0"/>
                <w:caps w:val="0"/>
                <w:szCs w:val="24"/>
              </w:rPr>
              <w:t xml:space="preserve">rocessing </w:t>
            </w:r>
            <w:r w:rsidRPr="008C24A7">
              <w:rPr>
                <w:rFonts w:eastAsiaTheme="minorHAnsi" w:cs="Arial"/>
                <w:bCs w:val="0"/>
                <w:caps w:val="0"/>
                <w:szCs w:val="24"/>
              </w:rPr>
              <w:t>A</w:t>
            </w:r>
            <w:r w:rsidR="006F36C4" w:rsidRPr="008C24A7">
              <w:rPr>
                <w:rFonts w:eastAsiaTheme="minorHAnsi" w:cs="Arial"/>
                <w:bCs w:val="0"/>
                <w:caps w:val="0"/>
                <w:szCs w:val="24"/>
              </w:rPr>
              <w:t>ctivity</w:t>
            </w:r>
            <w:r w:rsidRPr="008C24A7">
              <w:rPr>
                <w:rFonts w:eastAsiaTheme="minorHAnsi" w:cs="Arial"/>
                <w:bCs w:val="0"/>
                <w:caps w:val="0"/>
                <w:szCs w:val="24"/>
              </w:rPr>
              <w:t xml:space="preserve"> evidence / </w:t>
            </w:r>
            <w:r w:rsidR="00A270D9" w:rsidRPr="008C24A7">
              <w:rPr>
                <w:rFonts w:eastAsiaTheme="minorHAnsi" w:cs="Arial"/>
                <w:bCs w:val="0"/>
                <w:caps w:val="0"/>
                <w:szCs w:val="24"/>
              </w:rPr>
              <w:t xml:space="preserve">Production of an Information Asset register </w:t>
            </w:r>
          </w:p>
          <w:p w14:paraId="46D0FD03" w14:textId="77777777" w:rsidR="00A270D9" w:rsidRPr="008C24A7" w:rsidRDefault="00A270D9" w:rsidP="00962AE5">
            <w:pPr>
              <w:numPr>
                <w:ilvl w:val="0"/>
                <w:numId w:val="14"/>
              </w:numPr>
              <w:autoSpaceDN w:val="0"/>
              <w:spacing w:before="0" w:after="0" w:line="276" w:lineRule="auto"/>
              <w:ind w:left="426"/>
              <w:rPr>
                <w:rFonts w:eastAsiaTheme="minorHAnsi" w:cs="Arial"/>
                <w:bCs w:val="0"/>
                <w:caps w:val="0"/>
                <w:szCs w:val="24"/>
              </w:rPr>
            </w:pPr>
            <w:r w:rsidRPr="008C24A7">
              <w:rPr>
                <w:rFonts w:eastAsiaTheme="minorHAnsi" w:cs="Arial"/>
                <w:bCs w:val="0"/>
                <w:caps w:val="0"/>
                <w:szCs w:val="24"/>
              </w:rPr>
              <w:t>Policies and procedures for information asset management</w:t>
            </w:r>
          </w:p>
        </w:tc>
      </w:tr>
    </w:tbl>
    <w:p w14:paraId="0DABB9FA" w14:textId="77777777" w:rsidR="00B40153" w:rsidRDefault="00B40153">
      <w:pPr>
        <w:spacing w:before="0" w:after="160" w:line="259" w:lineRule="auto"/>
        <w:rPr>
          <w:rFonts w:cs="Arial"/>
          <w:szCs w:val="24"/>
          <w:lang w:val="en-US" w:eastAsia="en-GB"/>
        </w:rPr>
      </w:pPr>
    </w:p>
    <w:p w14:paraId="78A35C07" w14:textId="77777777" w:rsidR="00D9453C" w:rsidRPr="00D9453C" w:rsidRDefault="00F66389">
      <w:pPr>
        <w:pStyle w:val="Heading2"/>
        <w:spacing w:before="0" w:after="0" w:line="276" w:lineRule="auto"/>
        <w:rPr>
          <w:rFonts w:cs="Arial"/>
        </w:rPr>
      </w:pPr>
      <w:bookmarkStart w:id="34" w:name="_Toc10223061"/>
      <w:r w:rsidRPr="00032CF3">
        <w:rPr>
          <w:rFonts w:cs="Arial"/>
        </w:rPr>
        <w:t>4.5</w:t>
      </w:r>
      <w:r w:rsidR="000E0016" w:rsidRPr="00032CF3">
        <w:rPr>
          <w:rFonts w:cs="Arial"/>
        </w:rPr>
        <w:t xml:space="preserve"> </w:t>
      </w:r>
      <w:r w:rsidR="00B62A8D" w:rsidRPr="00032CF3">
        <w:rPr>
          <w:rFonts w:cs="Arial"/>
        </w:rPr>
        <w:t>Assuring security</w:t>
      </w:r>
      <w:bookmarkEnd w:id="34"/>
      <w:r w:rsidR="00B62A8D" w:rsidRPr="00032CF3">
        <w:rPr>
          <w:rFonts w:cs="Arial"/>
        </w:rPr>
        <w:t xml:space="preserve"> </w:t>
      </w:r>
    </w:p>
    <w:p w14:paraId="2E0E7CB8" w14:textId="44871867" w:rsidR="00394E3E" w:rsidRDefault="005A67EE">
      <w:pPr>
        <w:spacing w:before="0" w:after="0" w:line="276" w:lineRule="auto"/>
        <w:jc w:val="both"/>
        <w:rPr>
          <w:rFonts w:cs="Arial"/>
          <w:szCs w:val="22"/>
        </w:rPr>
      </w:pPr>
      <w:bookmarkStart w:id="35" w:name="_Hlk2013789"/>
      <w:r w:rsidRPr="00032CF3">
        <w:rPr>
          <w:rFonts w:cs="Arial"/>
          <w:szCs w:val="22"/>
        </w:rPr>
        <w:t xml:space="preserve">All organisations within a LHCR </w:t>
      </w:r>
      <w:bookmarkEnd w:id="35"/>
      <w:r w:rsidR="00824E8E" w:rsidRPr="00032CF3">
        <w:rPr>
          <w:rFonts w:cs="Arial"/>
          <w:szCs w:val="22"/>
        </w:rPr>
        <w:t>are expected to adhere to current published guidance for health an</w:t>
      </w:r>
      <w:r w:rsidR="00F143B3" w:rsidRPr="00032CF3">
        <w:rPr>
          <w:rFonts w:cs="Arial"/>
          <w:szCs w:val="22"/>
        </w:rPr>
        <w:t>d care to ensure they implement</w:t>
      </w:r>
      <w:r w:rsidR="00824E8E" w:rsidRPr="00032CF3">
        <w:rPr>
          <w:rFonts w:cs="Arial"/>
          <w:szCs w:val="22"/>
        </w:rPr>
        <w:t xml:space="preserve"> and develop cyber security to protect the </w:t>
      </w:r>
      <w:bookmarkStart w:id="36" w:name="_Hlk4593038"/>
      <w:r w:rsidR="00824E8E" w:rsidRPr="00032CF3">
        <w:rPr>
          <w:rFonts w:cs="Arial"/>
          <w:szCs w:val="22"/>
        </w:rPr>
        <w:t xml:space="preserve">confidentiality, integrity and </w:t>
      </w:r>
      <w:r w:rsidR="00241D06">
        <w:rPr>
          <w:rFonts w:cs="Arial"/>
          <w:szCs w:val="22"/>
        </w:rPr>
        <w:t xml:space="preserve">availability </w:t>
      </w:r>
      <w:r w:rsidR="00824E8E" w:rsidRPr="00032CF3">
        <w:rPr>
          <w:rFonts w:cs="Arial"/>
          <w:szCs w:val="22"/>
        </w:rPr>
        <w:t>of records</w:t>
      </w:r>
      <w:bookmarkEnd w:id="36"/>
      <w:r w:rsidR="00824E8E" w:rsidRPr="00032CF3">
        <w:rPr>
          <w:rFonts w:cs="Arial"/>
          <w:szCs w:val="22"/>
        </w:rPr>
        <w:t xml:space="preserve">, and to ensure that people, processes and technology are maintained to underpin cyber security. Organisations are expected to comply with relevant legislation, </w:t>
      </w:r>
      <w:r w:rsidR="00AC1122">
        <w:rPr>
          <w:rFonts w:cs="Arial"/>
          <w:szCs w:val="22"/>
        </w:rPr>
        <w:t xml:space="preserve">such as </w:t>
      </w:r>
      <w:r w:rsidR="00824E8E" w:rsidRPr="00032CF3">
        <w:rPr>
          <w:rFonts w:cs="Arial"/>
          <w:szCs w:val="22"/>
        </w:rPr>
        <w:t xml:space="preserve">the General Data Protection Regulations 2016, The Network and Information </w:t>
      </w:r>
      <w:r w:rsidRPr="00032CF3">
        <w:rPr>
          <w:rFonts w:cs="Arial"/>
          <w:szCs w:val="22"/>
        </w:rPr>
        <w:t>Systems (NIS) Regulations 2018</w:t>
      </w:r>
      <w:r w:rsidR="00AC1122">
        <w:rPr>
          <w:rFonts w:cs="Arial"/>
          <w:szCs w:val="22"/>
        </w:rPr>
        <w:t xml:space="preserve"> and relevant policies and guidance </w:t>
      </w:r>
      <w:r w:rsidR="007C33F2" w:rsidRPr="00032CF3">
        <w:rPr>
          <w:rFonts w:cs="Arial"/>
          <w:szCs w:val="22"/>
        </w:rPr>
        <w:t>(see Appendix K – Security Requirements)</w:t>
      </w:r>
      <w:r w:rsidR="00824E8E" w:rsidRPr="00032CF3">
        <w:rPr>
          <w:rFonts w:cs="Arial"/>
          <w:szCs w:val="22"/>
        </w:rPr>
        <w:t xml:space="preserve">. </w:t>
      </w:r>
    </w:p>
    <w:p w14:paraId="7CD36233" w14:textId="77777777" w:rsidR="00394E3E" w:rsidRDefault="00394E3E">
      <w:pPr>
        <w:spacing w:before="0" w:after="0" w:line="276" w:lineRule="auto"/>
        <w:jc w:val="both"/>
        <w:rPr>
          <w:rFonts w:cs="Arial"/>
          <w:szCs w:val="22"/>
        </w:rPr>
      </w:pPr>
    </w:p>
    <w:p w14:paraId="546B4A0B" w14:textId="77777777" w:rsidR="006C6B82" w:rsidRPr="00032CF3" w:rsidRDefault="006C6B82" w:rsidP="006C6B82">
      <w:pPr>
        <w:spacing w:before="0" w:after="0" w:line="276" w:lineRule="auto"/>
        <w:jc w:val="both"/>
        <w:rPr>
          <w:rFonts w:cs="Arial"/>
          <w:color w:val="FF0000"/>
          <w:sz w:val="22"/>
          <w:szCs w:val="20"/>
        </w:rPr>
      </w:pPr>
      <w:r w:rsidRPr="00394E3E">
        <w:rPr>
          <w:rFonts w:cs="Arial"/>
          <w:b/>
          <w:szCs w:val="22"/>
        </w:rPr>
        <w:t>NB:</w:t>
      </w:r>
      <w:r>
        <w:rPr>
          <w:rFonts w:cs="Arial"/>
          <w:szCs w:val="22"/>
        </w:rPr>
        <w:t xml:space="preserve"> A LHCR Cyber Security Framework is under development and anticipated to be published prior to release of the final Information Governance Framework.</w:t>
      </w:r>
    </w:p>
    <w:p w14:paraId="33046A3A" w14:textId="77777777" w:rsidR="006C6B82" w:rsidRDefault="006C6B82" w:rsidP="006C6B82">
      <w:pPr>
        <w:spacing w:before="0" w:after="0" w:line="276" w:lineRule="auto"/>
        <w:jc w:val="both"/>
        <w:rPr>
          <w:rFonts w:cs="Arial"/>
        </w:rPr>
      </w:pPr>
    </w:p>
    <w:p w14:paraId="4B6C11EE" w14:textId="77777777" w:rsidR="003836BE" w:rsidRPr="00032CF3" w:rsidRDefault="003836BE" w:rsidP="003836BE">
      <w:pPr>
        <w:spacing w:before="0" w:after="0" w:line="276" w:lineRule="auto"/>
        <w:jc w:val="both"/>
        <w:rPr>
          <w:rFonts w:cs="Arial"/>
        </w:rPr>
      </w:pPr>
      <w:r w:rsidRPr="00032CF3">
        <w:rPr>
          <w:rFonts w:cs="Arial"/>
        </w:rPr>
        <w:lastRenderedPageBreak/>
        <w:t>One way of showing compliance with this obligation is by meeting the requirements of the data security and protection toolkit (DSPT)</w:t>
      </w:r>
      <w:r w:rsidRPr="00032CF3">
        <w:rPr>
          <w:rStyle w:val="FootnoteReference"/>
          <w:rFonts w:cs="Arial"/>
        </w:rPr>
        <w:footnoteReference w:id="9"/>
      </w:r>
      <w:r w:rsidRPr="00032CF3">
        <w:rPr>
          <w:rFonts w:cs="Arial"/>
        </w:rPr>
        <w:t>, however this is not the only way to demonstrate compliance.</w:t>
      </w:r>
    </w:p>
    <w:p w14:paraId="0BF8AFA8" w14:textId="77777777" w:rsidR="00156FDC" w:rsidRPr="00032CF3" w:rsidRDefault="00156FDC" w:rsidP="00156FDC">
      <w:pPr>
        <w:spacing w:before="0" w:after="0" w:line="276" w:lineRule="auto"/>
        <w:jc w:val="both"/>
        <w:rPr>
          <w:rFonts w:cs="Arial"/>
        </w:rPr>
      </w:pPr>
    </w:p>
    <w:p w14:paraId="5E776B7D" w14:textId="4108C228" w:rsidR="0098678A" w:rsidRPr="00032CF3" w:rsidRDefault="0098678A" w:rsidP="0098678A">
      <w:pPr>
        <w:spacing w:before="0" w:after="0" w:line="276" w:lineRule="auto"/>
        <w:jc w:val="both"/>
        <w:rPr>
          <w:rFonts w:cs="Arial"/>
        </w:rPr>
      </w:pPr>
      <w:r w:rsidRPr="00032CF3">
        <w:rPr>
          <w:rFonts w:cs="Arial"/>
        </w:rPr>
        <w:t xml:space="preserve">It is also important those policies for areas </w:t>
      </w:r>
      <w:r w:rsidR="00AC1122">
        <w:rPr>
          <w:rFonts w:cs="Arial"/>
        </w:rPr>
        <w:t xml:space="preserve">such </w:t>
      </w:r>
      <w:r w:rsidRPr="00032CF3">
        <w:rPr>
          <w:rFonts w:cs="Arial"/>
        </w:rPr>
        <w:t>as; staff training, internal audits</w:t>
      </w:r>
      <w:r w:rsidR="00AC1122">
        <w:rPr>
          <w:rFonts w:cs="Arial"/>
        </w:rPr>
        <w:t xml:space="preserve"> and</w:t>
      </w:r>
      <w:r w:rsidRPr="00032CF3">
        <w:rPr>
          <w:rFonts w:cs="Arial"/>
        </w:rPr>
        <w:t xml:space="preserve"> HR policies, retention and disposal schedules are not only published, but can be shown to have been adhered to.</w:t>
      </w:r>
      <w:r w:rsidRPr="00032CF3">
        <w:rPr>
          <w:rFonts w:cs="Arial"/>
          <w:color w:val="FF0000"/>
        </w:rPr>
        <w:t xml:space="preserve"> </w:t>
      </w:r>
    </w:p>
    <w:p w14:paraId="266381BD" w14:textId="77777777" w:rsidR="00156FDC" w:rsidRPr="00032CF3" w:rsidRDefault="00156FDC" w:rsidP="00156FDC">
      <w:pPr>
        <w:spacing w:before="0" w:after="0" w:line="276" w:lineRule="auto"/>
        <w:jc w:val="both"/>
        <w:rPr>
          <w:rFonts w:cs="Arial"/>
        </w:rPr>
      </w:pPr>
    </w:p>
    <w:p w14:paraId="5274F5A4" w14:textId="77777777" w:rsidR="00C03CDE" w:rsidRDefault="00C03CDE" w:rsidP="00156FDC">
      <w:pPr>
        <w:spacing w:before="0" w:after="0" w:line="276" w:lineRule="auto"/>
        <w:jc w:val="both"/>
        <w:rPr>
          <w:rFonts w:cs="Arial"/>
        </w:rPr>
      </w:pPr>
      <w:r w:rsidRPr="00032CF3">
        <w:rPr>
          <w:rFonts w:cs="Arial"/>
        </w:rPr>
        <w:t xml:space="preserve">Any use of a processor should be aligned to legal </w:t>
      </w:r>
      <w:r w:rsidR="00811EBE" w:rsidRPr="00032CF3">
        <w:rPr>
          <w:rFonts w:cs="Arial"/>
        </w:rPr>
        <w:t xml:space="preserve">and contractual </w:t>
      </w:r>
      <w:r w:rsidRPr="00032CF3">
        <w:rPr>
          <w:rFonts w:cs="Arial"/>
        </w:rPr>
        <w:t>obligations.</w:t>
      </w:r>
    </w:p>
    <w:p w14:paraId="6C008771" w14:textId="77777777" w:rsidR="00413DA0" w:rsidRPr="00032CF3" w:rsidRDefault="00413DA0" w:rsidP="00156FDC">
      <w:pPr>
        <w:spacing w:before="0" w:after="0" w:line="276" w:lineRule="auto"/>
        <w:jc w:val="both"/>
        <w:rPr>
          <w:rFonts w:cs="Arial"/>
        </w:rPr>
      </w:pPr>
    </w:p>
    <w:p w14:paraId="6B58E559" w14:textId="77777777" w:rsidR="00C975B5" w:rsidRPr="00032CF3" w:rsidRDefault="00C975B5" w:rsidP="00C975B5">
      <w:pPr>
        <w:pStyle w:val="Heading3"/>
        <w:rPr>
          <w:rFonts w:cs="Arial"/>
        </w:rPr>
      </w:pPr>
      <w:bookmarkStart w:id="37" w:name="_Toc10223062"/>
      <w:r w:rsidRPr="00032CF3">
        <w:rPr>
          <w:rFonts w:cs="Arial"/>
        </w:rPr>
        <w:t>4.5.1</w:t>
      </w:r>
      <w:r w:rsidRPr="00032CF3">
        <w:rPr>
          <w:rFonts w:cs="Arial"/>
        </w:rPr>
        <w:tab/>
        <w:t>Using Processors</w:t>
      </w:r>
      <w:bookmarkEnd w:id="37"/>
    </w:p>
    <w:p w14:paraId="4C63655E" w14:textId="77777777" w:rsidR="00B62A8D" w:rsidRPr="00032CF3" w:rsidRDefault="00451104" w:rsidP="00704FD7">
      <w:pPr>
        <w:spacing w:before="0" w:after="0" w:line="276" w:lineRule="auto"/>
        <w:jc w:val="both"/>
        <w:rPr>
          <w:rFonts w:cs="Arial"/>
          <w:szCs w:val="24"/>
        </w:rPr>
      </w:pPr>
      <w:r w:rsidRPr="00032CF3">
        <w:rPr>
          <w:rFonts w:cs="Arial"/>
          <w:szCs w:val="24"/>
        </w:rPr>
        <w:t>A processor</w:t>
      </w:r>
      <w:r w:rsidR="00526549" w:rsidRPr="00032CF3">
        <w:rPr>
          <w:rFonts w:cs="Arial"/>
          <w:szCs w:val="24"/>
        </w:rPr>
        <w:t xml:space="preserve"> should only be engaged if the controllers have been provided with sufficient guarantees that the appropriate technical and organisational measures have been implemented in such a way as to meet the obligations of </w:t>
      </w:r>
      <w:r w:rsidR="00E46641" w:rsidRPr="00032CF3">
        <w:rPr>
          <w:rFonts w:cs="Arial"/>
          <w:szCs w:val="24"/>
        </w:rPr>
        <w:t>data protection law (specifically Articles 28, 29</w:t>
      </w:r>
      <w:r w:rsidR="00CA7F9C">
        <w:rPr>
          <w:rFonts w:cs="Arial"/>
          <w:szCs w:val="24"/>
        </w:rPr>
        <w:t>,</w:t>
      </w:r>
      <w:r w:rsidR="00E46641" w:rsidRPr="00032CF3">
        <w:rPr>
          <w:rFonts w:cs="Arial"/>
          <w:szCs w:val="24"/>
        </w:rPr>
        <w:t xml:space="preserve"> 30 </w:t>
      </w:r>
      <w:r w:rsidR="00CA7F9C">
        <w:rPr>
          <w:rFonts w:cs="Arial"/>
          <w:szCs w:val="24"/>
        </w:rPr>
        <w:t xml:space="preserve">and 32 </w:t>
      </w:r>
      <w:r w:rsidR="00E46641" w:rsidRPr="00032CF3">
        <w:rPr>
          <w:rFonts w:cs="Arial"/>
          <w:szCs w:val="24"/>
        </w:rPr>
        <w:t xml:space="preserve">of the GDPR) and will ensure the protection of the rights of the data subjects. </w:t>
      </w:r>
    </w:p>
    <w:p w14:paraId="1C349F7E" w14:textId="77777777" w:rsidR="00156FDC" w:rsidRDefault="00156FDC" w:rsidP="00156FDC">
      <w:pPr>
        <w:spacing w:before="0" w:after="0" w:line="276" w:lineRule="auto"/>
        <w:jc w:val="both"/>
        <w:rPr>
          <w:rFonts w:cs="Arial"/>
          <w:szCs w:val="24"/>
        </w:rPr>
      </w:pPr>
    </w:p>
    <w:p w14:paraId="29D75E2C" w14:textId="080D3D3F" w:rsidR="00477B52" w:rsidRPr="00477B52" w:rsidRDefault="00477B52" w:rsidP="00477B52">
      <w:pPr>
        <w:spacing w:before="0" w:after="0" w:line="276" w:lineRule="auto"/>
        <w:jc w:val="both"/>
        <w:rPr>
          <w:rFonts w:cs="Arial"/>
          <w:color w:val="000000" w:themeColor="text1"/>
          <w:szCs w:val="24"/>
        </w:rPr>
      </w:pPr>
      <w:r w:rsidRPr="00477B52">
        <w:rPr>
          <w:rFonts w:cs="Arial"/>
          <w:color w:val="000000" w:themeColor="text1"/>
          <w:szCs w:val="24"/>
        </w:rPr>
        <w:t xml:space="preserve">All GP Practices will use a clinical system of their choice, usually procured by the CCG on behalf of its member practices. As part of this, the system supplier provides a </w:t>
      </w:r>
      <w:r w:rsidRPr="00477B52">
        <w:rPr>
          <w:rFonts w:cs="Arial"/>
          <w:i/>
          <w:color w:val="000000" w:themeColor="text1"/>
          <w:szCs w:val="24"/>
        </w:rPr>
        <w:t>Deed of Undertaking</w:t>
      </w:r>
      <w:r w:rsidRPr="00477B52">
        <w:rPr>
          <w:rFonts w:cs="Arial"/>
          <w:color w:val="000000" w:themeColor="text1"/>
          <w:szCs w:val="24"/>
        </w:rPr>
        <w:t xml:space="preserve"> which indemnifies GPs. This Undertaking sets out what controls will be in place if the system supplier processes data itself and/or uses a sub-processor and provides assurances to GPs that compliance will be adhered to in relation to data protection law</w:t>
      </w:r>
      <w:r w:rsidRPr="00477B52">
        <w:rPr>
          <w:rStyle w:val="FootnoteReference"/>
          <w:rFonts w:cs="Arial"/>
          <w:color w:val="000000" w:themeColor="text1"/>
          <w:szCs w:val="24"/>
        </w:rPr>
        <w:footnoteReference w:id="10"/>
      </w:r>
      <w:r w:rsidRPr="00477B52">
        <w:rPr>
          <w:rFonts w:cs="Arial"/>
          <w:color w:val="000000" w:themeColor="text1"/>
          <w:szCs w:val="24"/>
        </w:rPr>
        <w:t>.</w:t>
      </w:r>
    </w:p>
    <w:p w14:paraId="464476B4" w14:textId="77777777" w:rsidR="00837961" w:rsidRPr="00032CF3" w:rsidRDefault="00837961" w:rsidP="00156FDC">
      <w:pPr>
        <w:spacing w:before="0" w:after="0" w:line="276" w:lineRule="auto"/>
        <w:jc w:val="both"/>
        <w:rPr>
          <w:rFonts w:cs="Arial"/>
          <w:szCs w:val="24"/>
        </w:rPr>
      </w:pPr>
    </w:p>
    <w:p w14:paraId="4B8AC47C" w14:textId="77777777" w:rsidR="00C975B5" w:rsidRPr="00032CF3" w:rsidRDefault="00C975B5" w:rsidP="00C975B5">
      <w:pPr>
        <w:spacing w:before="0" w:after="0" w:line="276" w:lineRule="auto"/>
        <w:jc w:val="both"/>
        <w:rPr>
          <w:rFonts w:cs="Arial"/>
          <w:szCs w:val="24"/>
        </w:rPr>
      </w:pPr>
      <w:r w:rsidRPr="00032CF3">
        <w:rPr>
          <w:rFonts w:cs="Arial"/>
          <w:szCs w:val="24"/>
        </w:rPr>
        <w:t xml:space="preserve">If using a processor, </w:t>
      </w:r>
      <w:r w:rsidRPr="006F36C4">
        <w:rPr>
          <w:rFonts w:cs="Arial"/>
          <w:szCs w:val="24"/>
        </w:rPr>
        <w:t>a written contract</w:t>
      </w:r>
      <w:r w:rsidRPr="00032CF3">
        <w:rPr>
          <w:rFonts w:cs="Arial"/>
          <w:szCs w:val="24"/>
        </w:rPr>
        <w:t xml:space="preserve"> must be in place between the group of organisations acting as joint </w:t>
      </w:r>
      <w:r w:rsidR="00FB68CF" w:rsidRPr="00032CF3">
        <w:rPr>
          <w:rFonts w:cs="Arial"/>
          <w:szCs w:val="24"/>
        </w:rPr>
        <w:t xml:space="preserve">controllers and the processor/s.  </w:t>
      </w:r>
      <w:r w:rsidRPr="00032CF3">
        <w:rPr>
          <w:rFonts w:cs="Arial"/>
          <w:szCs w:val="24"/>
        </w:rPr>
        <w:t>This is a legal requirement and is essential so that everyone understands their roles and responsibilities and assurance can be given that the processor operates in a legally compliant way.</w:t>
      </w:r>
    </w:p>
    <w:p w14:paraId="25A0B4DF" w14:textId="77777777" w:rsidR="00156FDC" w:rsidRPr="00032CF3" w:rsidRDefault="00156FDC" w:rsidP="00156FDC">
      <w:pPr>
        <w:spacing w:before="0" w:after="0" w:line="276" w:lineRule="auto"/>
        <w:jc w:val="both"/>
        <w:rPr>
          <w:rFonts w:cs="Arial"/>
          <w:szCs w:val="24"/>
        </w:rPr>
      </w:pPr>
    </w:p>
    <w:p w14:paraId="2147911A" w14:textId="77777777" w:rsidR="00086A7D" w:rsidRPr="00032CF3" w:rsidRDefault="00B87DA8" w:rsidP="00156FDC">
      <w:pPr>
        <w:spacing w:before="0" w:after="0" w:line="276" w:lineRule="auto"/>
        <w:jc w:val="both"/>
        <w:rPr>
          <w:rFonts w:cs="Arial"/>
          <w:szCs w:val="24"/>
        </w:rPr>
      </w:pPr>
      <w:r w:rsidRPr="00032CF3">
        <w:rPr>
          <w:rFonts w:cs="Arial"/>
          <w:szCs w:val="24"/>
        </w:rPr>
        <w:t>P</w:t>
      </w:r>
      <w:r w:rsidR="00086A7D" w:rsidRPr="00032CF3">
        <w:rPr>
          <w:rFonts w:cs="Arial"/>
          <w:szCs w:val="24"/>
        </w:rPr>
        <w:t xml:space="preserve">rocessors may only act </w:t>
      </w:r>
      <w:r w:rsidR="00FB68CF" w:rsidRPr="00032CF3">
        <w:rPr>
          <w:rFonts w:cs="Arial"/>
          <w:szCs w:val="24"/>
        </w:rPr>
        <w:t>under</w:t>
      </w:r>
      <w:r w:rsidR="00E6677A">
        <w:rPr>
          <w:rFonts w:cs="Arial"/>
          <w:szCs w:val="24"/>
        </w:rPr>
        <w:t xml:space="preserve"> </w:t>
      </w:r>
      <w:r w:rsidR="00BD2E41" w:rsidRPr="00032CF3">
        <w:rPr>
          <w:rFonts w:cs="Arial"/>
          <w:szCs w:val="24"/>
        </w:rPr>
        <w:t>written</w:t>
      </w:r>
      <w:r w:rsidR="00FB68CF" w:rsidRPr="00032CF3">
        <w:rPr>
          <w:rFonts w:cs="Arial"/>
          <w:szCs w:val="24"/>
        </w:rPr>
        <w:t xml:space="preserve"> instruction from </w:t>
      </w:r>
      <w:r w:rsidR="00086A7D" w:rsidRPr="00032CF3">
        <w:rPr>
          <w:rFonts w:cs="Arial"/>
          <w:szCs w:val="24"/>
        </w:rPr>
        <w:t xml:space="preserve">a controller, they </w:t>
      </w:r>
      <w:r w:rsidR="00E46641" w:rsidRPr="00032CF3">
        <w:rPr>
          <w:rFonts w:cs="Arial"/>
          <w:szCs w:val="24"/>
        </w:rPr>
        <w:t>must gain auth</w:t>
      </w:r>
      <w:r w:rsidR="00BD2E41" w:rsidRPr="00032CF3">
        <w:rPr>
          <w:rFonts w:cs="Arial"/>
          <w:szCs w:val="24"/>
        </w:rPr>
        <w:t>orisation</w:t>
      </w:r>
      <w:r w:rsidR="00086A7D" w:rsidRPr="00032CF3">
        <w:rPr>
          <w:rFonts w:cs="Arial"/>
          <w:szCs w:val="24"/>
        </w:rPr>
        <w:t xml:space="preserve"> from the </w:t>
      </w:r>
      <w:r w:rsidR="00086A7D" w:rsidRPr="00032CF3">
        <w:rPr>
          <w:rFonts w:cs="Arial"/>
          <w:color w:val="000000" w:themeColor="text1"/>
          <w:szCs w:val="24"/>
        </w:rPr>
        <w:t>controller</w:t>
      </w:r>
      <w:r w:rsidR="00F143B3" w:rsidRPr="00032CF3">
        <w:rPr>
          <w:rFonts w:cs="Arial"/>
          <w:color w:val="000000" w:themeColor="text1"/>
          <w:szCs w:val="24"/>
        </w:rPr>
        <w:t>/</w:t>
      </w:r>
      <w:r w:rsidR="00351388" w:rsidRPr="00032CF3">
        <w:rPr>
          <w:rFonts w:cs="Arial"/>
          <w:color w:val="000000" w:themeColor="text1"/>
          <w:szCs w:val="24"/>
        </w:rPr>
        <w:t>s</w:t>
      </w:r>
      <w:r w:rsidR="00086A7D" w:rsidRPr="00032CF3">
        <w:rPr>
          <w:rFonts w:cs="Arial"/>
          <w:color w:val="000000" w:themeColor="text1"/>
          <w:szCs w:val="24"/>
        </w:rPr>
        <w:t xml:space="preserve"> if </w:t>
      </w:r>
      <w:r w:rsidR="00086A7D" w:rsidRPr="00032CF3">
        <w:rPr>
          <w:rFonts w:cs="Arial"/>
          <w:szCs w:val="24"/>
        </w:rPr>
        <w:t>they wish to sub</w:t>
      </w:r>
      <w:r w:rsidR="006F36C4">
        <w:rPr>
          <w:rFonts w:cs="Arial"/>
          <w:szCs w:val="24"/>
        </w:rPr>
        <w:t>-</w:t>
      </w:r>
      <w:r w:rsidR="00086A7D" w:rsidRPr="00032CF3">
        <w:rPr>
          <w:rFonts w:cs="Arial"/>
          <w:szCs w:val="24"/>
        </w:rPr>
        <w:t>contract to a third party</w:t>
      </w:r>
      <w:r w:rsidR="00526549" w:rsidRPr="00032CF3">
        <w:rPr>
          <w:rFonts w:cs="Arial"/>
          <w:szCs w:val="24"/>
        </w:rPr>
        <w:t xml:space="preserve">. </w:t>
      </w:r>
      <w:bookmarkStart w:id="38" w:name="_Hlk4593126"/>
      <w:r w:rsidR="00526549" w:rsidRPr="00032CF3">
        <w:rPr>
          <w:rFonts w:cs="Arial"/>
          <w:szCs w:val="24"/>
        </w:rPr>
        <w:t>T</w:t>
      </w:r>
      <w:r w:rsidR="00086A7D" w:rsidRPr="00032CF3">
        <w:rPr>
          <w:rFonts w:cs="Arial"/>
          <w:szCs w:val="24"/>
        </w:rPr>
        <w:t xml:space="preserve">hey must </w:t>
      </w:r>
      <w:r w:rsidR="001A2976" w:rsidRPr="00032CF3">
        <w:rPr>
          <w:rFonts w:cs="Arial"/>
          <w:szCs w:val="24"/>
        </w:rPr>
        <w:t xml:space="preserve">also </w:t>
      </w:r>
      <w:r w:rsidR="00086A7D" w:rsidRPr="00032CF3">
        <w:rPr>
          <w:rFonts w:cs="Arial"/>
          <w:szCs w:val="24"/>
        </w:rPr>
        <w:t>ensure the security of their processing, keep records of their processing and notify the controllers of any breaches which occur</w:t>
      </w:r>
      <w:bookmarkEnd w:id="38"/>
      <w:r w:rsidR="004D3C3F">
        <w:rPr>
          <w:rFonts w:cs="Arial"/>
          <w:szCs w:val="24"/>
        </w:rPr>
        <w:t>, without undue delay</w:t>
      </w:r>
      <w:r w:rsidR="00086A7D" w:rsidRPr="00032CF3">
        <w:rPr>
          <w:rFonts w:cs="Arial"/>
          <w:szCs w:val="24"/>
        </w:rPr>
        <w:t>.</w:t>
      </w:r>
      <w:r w:rsidR="00351388" w:rsidRPr="00032CF3">
        <w:rPr>
          <w:rFonts w:cs="Arial"/>
          <w:szCs w:val="24"/>
        </w:rPr>
        <w:t xml:space="preserve"> </w:t>
      </w:r>
      <w:r w:rsidR="00FB68CF" w:rsidRPr="00032CF3">
        <w:rPr>
          <w:rFonts w:cs="Arial"/>
          <w:szCs w:val="24"/>
        </w:rPr>
        <w:t xml:space="preserve">When working as a group of joint controllers it is important to decide if the processor will be instructed by a lead organisation or by all of them. </w:t>
      </w:r>
    </w:p>
    <w:p w14:paraId="51964DDD" w14:textId="77777777" w:rsidR="00156FDC" w:rsidRPr="00032CF3" w:rsidRDefault="00156FDC" w:rsidP="00156FDC">
      <w:pPr>
        <w:spacing w:before="0" w:after="0" w:line="276" w:lineRule="auto"/>
        <w:jc w:val="both"/>
        <w:rPr>
          <w:rFonts w:cs="Arial"/>
          <w:szCs w:val="24"/>
        </w:rPr>
      </w:pPr>
    </w:p>
    <w:p w14:paraId="0E35F2B3" w14:textId="77777777" w:rsidR="00086A7D" w:rsidRPr="00032CF3" w:rsidRDefault="00E759FE" w:rsidP="00156FDC">
      <w:pPr>
        <w:spacing w:before="0" w:after="0" w:line="276" w:lineRule="auto"/>
        <w:jc w:val="both"/>
        <w:rPr>
          <w:rFonts w:cs="Arial"/>
          <w:szCs w:val="24"/>
        </w:rPr>
      </w:pPr>
      <w:r w:rsidRPr="00032CF3">
        <w:rPr>
          <w:rFonts w:cs="Arial"/>
          <w:szCs w:val="24"/>
        </w:rPr>
        <w:t xml:space="preserve">Processors </w:t>
      </w:r>
      <w:r w:rsidR="00ED02C2" w:rsidRPr="00032CF3">
        <w:rPr>
          <w:rFonts w:cs="Arial"/>
          <w:szCs w:val="24"/>
        </w:rPr>
        <w:t xml:space="preserve">also required to have a DPO </w:t>
      </w:r>
      <w:r w:rsidR="00086A7D" w:rsidRPr="00032CF3">
        <w:rPr>
          <w:rFonts w:cs="Arial"/>
          <w:szCs w:val="24"/>
        </w:rPr>
        <w:t xml:space="preserve">therefore the </w:t>
      </w:r>
      <w:r w:rsidR="00EE3D91" w:rsidRPr="00032CF3">
        <w:rPr>
          <w:rFonts w:cs="Arial"/>
          <w:szCs w:val="24"/>
        </w:rPr>
        <w:t xml:space="preserve">LHCR </w:t>
      </w:r>
      <w:r w:rsidR="006F36C4">
        <w:rPr>
          <w:rFonts w:cs="Arial"/>
          <w:szCs w:val="24"/>
        </w:rPr>
        <w:t>Information Governance</w:t>
      </w:r>
      <w:r w:rsidR="006F36C4" w:rsidRPr="00032CF3">
        <w:rPr>
          <w:rFonts w:cs="Arial"/>
          <w:szCs w:val="24"/>
        </w:rPr>
        <w:t xml:space="preserve"> </w:t>
      </w:r>
      <w:r w:rsidR="00A96FB3">
        <w:rPr>
          <w:rFonts w:cs="Arial"/>
          <w:szCs w:val="24"/>
        </w:rPr>
        <w:t>L</w:t>
      </w:r>
      <w:r w:rsidR="00EE3D91" w:rsidRPr="00032CF3">
        <w:rPr>
          <w:rFonts w:cs="Arial"/>
          <w:szCs w:val="24"/>
        </w:rPr>
        <w:t xml:space="preserve">ead </w:t>
      </w:r>
      <w:r w:rsidR="00086A7D" w:rsidRPr="00032CF3">
        <w:rPr>
          <w:rFonts w:cs="Arial"/>
          <w:szCs w:val="24"/>
        </w:rPr>
        <w:t>should take responsibility for liaising with the DPO in the data processing organisation to ensure clarity and compliance.</w:t>
      </w:r>
    </w:p>
    <w:p w14:paraId="46AC8795" w14:textId="77777777" w:rsidR="00156FDC" w:rsidRPr="00032CF3" w:rsidRDefault="00156FDC" w:rsidP="00156FDC">
      <w:pPr>
        <w:spacing w:before="0" w:after="0" w:line="276" w:lineRule="auto"/>
        <w:jc w:val="both"/>
        <w:rPr>
          <w:rFonts w:cs="Arial"/>
          <w:szCs w:val="24"/>
        </w:rPr>
      </w:pPr>
    </w:p>
    <w:p w14:paraId="63DA2EB3" w14:textId="77777777" w:rsidR="000059F3" w:rsidRPr="00032CF3" w:rsidRDefault="00086A7D" w:rsidP="00156FDC">
      <w:pPr>
        <w:spacing w:before="0" w:after="0" w:line="276" w:lineRule="auto"/>
        <w:jc w:val="both"/>
        <w:rPr>
          <w:rFonts w:cs="Arial"/>
          <w:szCs w:val="24"/>
        </w:rPr>
      </w:pPr>
      <w:r w:rsidRPr="00032CF3">
        <w:rPr>
          <w:rFonts w:cs="Arial"/>
          <w:szCs w:val="24"/>
        </w:rPr>
        <w:t xml:space="preserve">Technical specifications such as </w:t>
      </w:r>
      <w:r w:rsidR="003C0E66" w:rsidRPr="00032CF3">
        <w:rPr>
          <w:rFonts w:cs="Arial"/>
          <w:szCs w:val="24"/>
        </w:rPr>
        <w:t>role-based</w:t>
      </w:r>
      <w:r w:rsidR="003836BE" w:rsidRPr="00032CF3">
        <w:rPr>
          <w:rFonts w:cs="Arial"/>
          <w:szCs w:val="24"/>
        </w:rPr>
        <w:t xml:space="preserve"> access</w:t>
      </w:r>
      <w:r w:rsidRPr="00032CF3">
        <w:rPr>
          <w:rFonts w:cs="Arial"/>
          <w:szCs w:val="24"/>
        </w:rPr>
        <w:t xml:space="preserve">, overrides etc. should be carefully considered and </w:t>
      </w:r>
      <w:r w:rsidR="00B40153" w:rsidRPr="00032CF3">
        <w:rPr>
          <w:rFonts w:cs="Arial"/>
          <w:szCs w:val="24"/>
        </w:rPr>
        <w:t>all</w:t>
      </w:r>
      <w:r w:rsidRPr="00032CF3">
        <w:rPr>
          <w:rFonts w:cs="Arial"/>
          <w:szCs w:val="24"/>
        </w:rPr>
        <w:t xml:space="preserve"> the controllers comfortable with the arrangements. </w:t>
      </w:r>
    </w:p>
    <w:p w14:paraId="443E857C" w14:textId="77777777" w:rsidR="00321C12" w:rsidRPr="00032CF3" w:rsidRDefault="00321C12" w:rsidP="00156FDC">
      <w:pPr>
        <w:spacing w:before="0" w:after="0" w:line="276" w:lineRule="auto"/>
        <w:jc w:val="both"/>
        <w:rPr>
          <w:rFonts w:cs="Arial"/>
          <w:color w:val="FF0000"/>
          <w:szCs w:val="24"/>
        </w:rPr>
      </w:pPr>
    </w:p>
    <w:p w14:paraId="2D93B493" w14:textId="77777777" w:rsidR="00086A7D" w:rsidRPr="00032CF3" w:rsidRDefault="00582B64" w:rsidP="00130A80">
      <w:pPr>
        <w:pStyle w:val="Heading3"/>
        <w:rPr>
          <w:rFonts w:cs="Arial"/>
        </w:rPr>
      </w:pPr>
      <w:bookmarkStart w:id="39" w:name="_Toc10223063"/>
      <w:r w:rsidRPr="00032CF3">
        <w:rPr>
          <w:rFonts w:cs="Arial"/>
        </w:rPr>
        <w:lastRenderedPageBreak/>
        <w:t>4.5.2</w:t>
      </w:r>
      <w:r w:rsidRPr="00032CF3">
        <w:rPr>
          <w:rFonts w:cs="Arial"/>
        </w:rPr>
        <w:tab/>
      </w:r>
      <w:r w:rsidR="00086A7D" w:rsidRPr="00032CF3">
        <w:rPr>
          <w:rFonts w:cs="Arial"/>
        </w:rPr>
        <w:t>The Data Security and Protection Toolkit (DSPT)</w:t>
      </w:r>
      <w:bookmarkEnd w:id="39"/>
    </w:p>
    <w:p w14:paraId="16832CAB" w14:textId="77777777" w:rsidR="00FB5A1C" w:rsidRPr="00032CF3" w:rsidRDefault="00FB5A1C" w:rsidP="00FB5A1C">
      <w:pPr>
        <w:spacing w:before="0" w:after="0" w:line="276" w:lineRule="auto"/>
        <w:jc w:val="both"/>
        <w:rPr>
          <w:rFonts w:cs="Arial"/>
          <w:szCs w:val="24"/>
        </w:rPr>
      </w:pPr>
      <w:r w:rsidRPr="00032CF3">
        <w:rPr>
          <w:rFonts w:cs="Arial"/>
          <w:szCs w:val="24"/>
        </w:rPr>
        <w:t xml:space="preserve">All organisations </w:t>
      </w:r>
      <w:r w:rsidR="00AE2A94">
        <w:rPr>
          <w:rFonts w:cs="Arial"/>
          <w:szCs w:val="24"/>
        </w:rPr>
        <w:t xml:space="preserve">processing NHS patient data </w:t>
      </w:r>
      <w:r w:rsidRPr="00032CF3">
        <w:rPr>
          <w:rFonts w:cs="Arial"/>
          <w:szCs w:val="24"/>
        </w:rPr>
        <w:t xml:space="preserve">must meet the requirements of the </w:t>
      </w:r>
      <w:r w:rsidR="00D9453C">
        <w:rPr>
          <w:rFonts w:cs="Arial"/>
          <w:szCs w:val="24"/>
        </w:rPr>
        <w:t>D</w:t>
      </w:r>
      <w:r w:rsidRPr="00032CF3">
        <w:rPr>
          <w:rFonts w:cs="Arial"/>
          <w:szCs w:val="24"/>
        </w:rPr>
        <w:t xml:space="preserve">ata </w:t>
      </w:r>
      <w:r w:rsidR="00D9453C">
        <w:rPr>
          <w:rFonts w:cs="Arial"/>
          <w:szCs w:val="24"/>
        </w:rPr>
        <w:t>S</w:t>
      </w:r>
      <w:r w:rsidRPr="00032CF3">
        <w:rPr>
          <w:rFonts w:cs="Arial"/>
          <w:szCs w:val="24"/>
        </w:rPr>
        <w:t xml:space="preserve">ecurity and </w:t>
      </w:r>
      <w:r w:rsidR="00D9453C">
        <w:rPr>
          <w:rFonts w:cs="Arial"/>
          <w:szCs w:val="24"/>
        </w:rPr>
        <w:t>P</w:t>
      </w:r>
      <w:r w:rsidRPr="00032CF3">
        <w:rPr>
          <w:rFonts w:cs="Arial"/>
          <w:szCs w:val="24"/>
        </w:rPr>
        <w:t xml:space="preserve">rotection </w:t>
      </w:r>
      <w:r w:rsidR="00D9453C">
        <w:rPr>
          <w:rFonts w:cs="Arial"/>
          <w:szCs w:val="24"/>
        </w:rPr>
        <w:t>T</w:t>
      </w:r>
      <w:r w:rsidRPr="00032CF3">
        <w:rPr>
          <w:rFonts w:cs="Arial"/>
          <w:szCs w:val="24"/>
        </w:rPr>
        <w:t xml:space="preserve">oolkit (DSPT), The DSPT is a compliance framework that covers all aspects of security and confidentiality linked with and supported by National Cyber Security Centre, the agency tasked with protecting critical infrastructure. </w:t>
      </w:r>
    </w:p>
    <w:p w14:paraId="4155579D" w14:textId="77777777" w:rsidR="00FB5A1C" w:rsidRPr="00032CF3" w:rsidRDefault="00FB5A1C" w:rsidP="00FB5A1C">
      <w:pPr>
        <w:spacing w:before="0" w:after="0" w:line="276" w:lineRule="auto"/>
        <w:jc w:val="both"/>
        <w:rPr>
          <w:rFonts w:cs="Arial"/>
          <w:szCs w:val="24"/>
        </w:rPr>
      </w:pPr>
    </w:p>
    <w:p w14:paraId="020F046C" w14:textId="77777777" w:rsidR="00FB5A1C" w:rsidRPr="00D9453C" w:rsidRDefault="00FB5A1C" w:rsidP="00FB5A1C">
      <w:pPr>
        <w:spacing w:before="0" w:after="0" w:line="276" w:lineRule="auto"/>
        <w:jc w:val="both"/>
        <w:rPr>
          <w:rFonts w:cs="Arial"/>
          <w:szCs w:val="24"/>
        </w:rPr>
      </w:pPr>
      <w:r w:rsidRPr="00D9453C">
        <w:rPr>
          <w:rFonts w:cs="Arial"/>
          <w:szCs w:val="24"/>
        </w:rPr>
        <w:t xml:space="preserve">The focus of the DSPT is on building trust in health and care IT systems based on the National Data Guardian’s ten data security standards. The DSPT is structured to require organisations to comply with relevant information governance standards. These are for each of the ten standards. </w:t>
      </w:r>
      <w:r w:rsidR="00D9453C" w:rsidRPr="00D9453C">
        <w:rPr>
          <w:szCs w:val="24"/>
        </w:rPr>
        <w:t xml:space="preserve"> </w:t>
      </w:r>
      <w:r w:rsidR="002968F5" w:rsidRPr="00947CCD">
        <w:rPr>
          <w:szCs w:val="24"/>
        </w:rPr>
        <w:t>To meet the relevant Standard all</w:t>
      </w:r>
      <w:r w:rsidRPr="00D9453C">
        <w:rPr>
          <w:rFonts w:cs="Arial"/>
          <w:szCs w:val="24"/>
        </w:rPr>
        <w:t xml:space="preserve"> Toolkit questions must be appropriately answered. Organisations must not rely solely on DSPT returns for assurance.</w:t>
      </w:r>
    </w:p>
    <w:p w14:paraId="1529434E" w14:textId="77777777" w:rsidR="00433CC8" w:rsidRPr="00D9453C" w:rsidRDefault="00433CC8" w:rsidP="00FB5A1C">
      <w:pPr>
        <w:spacing w:before="0" w:after="0" w:line="276" w:lineRule="auto"/>
        <w:jc w:val="both"/>
        <w:rPr>
          <w:rFonts w:cs="Arial"/>
          <w:szCs w:val="24"/>
        </w:rPr>
      </w:pPr>
    </w:p>
    <w:p w14:paraId="6B07D749" w14:textId="77777777" w:rsidR="00FB5A1C" w:rsidRPr="00D9453C" w:rsidRDefault="00FB5A1C" w:rsidP="00FB5A1C">
      <w:pPr>
        <w:spacing w:before="0" w:after="0" w:line="276" w:lineRule="auto"/>
        <w:jc w:val="both"/>
        <w:rPr>
          <w:rFonts w:cs="Arial"/>
          <w:szCs w:val="24"/>
        </w:rPr>
      </w:pPr>
      <w:r w:rsidRPr="00D9453C">
        <w:rPr>
          <w:rFonts w:cs="Arial"/>
          <w:szCs w:val="24"/>
        </w:rPr>
        <w:t>The DSPT also includes a tool for reporting data breach incidents which must be used by NHS-funded care organisations.</w:t>
      </w:r>
      <w:r w:rsidR="006A62D5" w:rsidRPr="00D9453C">
        <w:rPr>
          <w:rFonts w:cs="Arial"/>
          <w:szCs w:val="24"/>
        </w:rPr>
        <w:t xml:space="preserve"> (See Appendix O for more information on Data Breach Management)</w:t>
      </w:r>
    </w:p>
    <w:p w14:paraId="26DAF518" w14:textId="77777777" w:rsidR="00FB5A1C" w:rsidRPr="00D9453C" w:rsidRDefault="00FB5A1C" w:rsidP="00FB5A1C">
      <w:pPr>
        <w:spacing w:before="0" w:after="0" w:line="276" w:lineRule="auto"/>
        <w:jc w:val="both"/>
        <w:rPr>
          <w:rFonts w:cs="Arial"/>
          <w:szCs w:val="24"/>
        </w:rPr>
      </w:pPr>
    </w:p>
    <w:p w14:paraId="38F97103" w14:textId="77777777" w:rsidR="00FB5A1C" w:rsidRPr="00D9453C" w:rsidRDefault="00FB5A1C" w:rsidP="00FB5A1C">
      <w:pPr>
        <w:spacing w:before="0" w:after="0" w:line="276" w:lineRule="auto"/>
        <w:jc w:val="both"/>
        <w:rPr>
          <w:rFonts w:cs="Arial"/>
          <w:szCs w:val="24"/>
        </w:rPr>
      </w:pPr>
      <w:r w:rsidRPr="00D9453C">
        <w:rPr>
          <w:rFonts w:cs="Arial"/>
          <w:szCs w:val="24"/>
        </w:rPr>
        <w:t xml:space="preserve">Any use of a processor should be aligned to legal and contractual obligations. Suppliers of software and services to care organisations are also required to complete the DSPT. </w:t>
      </w:r>
    </w:p>
    <w:p w14:paraId="54714B04" w14:textId="77777777" w:rsidR="00FB5A1C" w:rsidRPr="00D9453C" w:rsidRDefault="00FB5A1C" w:rsidP="00156FDC">
      <w:pPr>
        <w:spacing w:before="0" w:after="0" w:line="276" w:lineRule="auto"/>
        <w:jc w:val="both"/>
        <w:rPr>
          <w:rFonts w:cs="Arial"/>
          <w:szCs w:val="24"/>
        </w:rPr>
      </w:pPr>
    </w:p>
    <w:p w14:paraId="1957CADF" w14:textId="77777777" w:rsidR="0052275F" w:rsidRPr="00D9453C" w:rsidRDefault="00153FAF" w:rsidP="0052275F">
      <w:pPr>
        <w:spacing w:before="0" w:after="0" w:line="276" w:lineRule="auto"/>
        <w:jc w:val="both"/>
        <w:rPr>
          <w:rFonts w:cs="Arial"/>
          <w:szCs w:val="24"/>
        </w:rPr>
      </w:pPr>
      <w:r w:rsidRPr="00D9453C">
        <w:rPr>
          <w:rFonts w:cs="Arial"/>
          <w:szCs w:val="24"/>
        </w:rPr>
        <w:t xml:space="preserve">For </w:t>
      </w:r>
      <w:r w:rsidR="00753325" w:rsidRPr="00D9453C">
        <w:rPr>
          <w:rFonts w:cs="Arial"/>
          <w:szCs w:val="24"/>
        </w:rPr>
        <w:t>t</w:t>
      </w:r>
      <w:r w:rsidRPr="00D9453C">
        <w:rPr>
          <w:rFonts w:cs="Arial"/>
          <w:szCs w:val="24"/>
        </w:rPr>
        <w:t xml:space="preserve">ools and templates to support this section please see Appendix </w:t>
      </w:r>
      <w:r w:rsidR="00741463" w:rsidRPr="00D9453C">
        <w:rPr>
          <w:rFonts w:cs="Arial"/>
          <w:szCs w:val="24"/>
        </w:rPr>
        <w:t>H</w:t>
      </w:r>
      <w:r w:rsidRPr="00D9453C">
        <w:rPr>
          <w:rFonts w:cs="Arial"/>
          <w:szCs w:val="24"/>
        </w:rPr>
        <w:t xml:space="preserve"> (4.5).</w:t>
      </w:r>
    </w:p>
    <w:p w14:paraId="580E8E7F" w14:textId="77777777" w:rsidR="007F774B" w:rsidRPr="00032CF3" w:rsidRDefault="007F774B" w:rsidP="0052275F">
      <w:pPr>
        <w:spacing w:before="0" w:after="0" w:line="276" w:lineRule="auto"/>
        <w:jc w:val="both"/>
        <w:rPr>
          <w:rFonts w:cs="Arial"/>
          <w:color w:val="FF0000"/>
          <w:szCs w:val="24"/>
        </w:rPr>
      </w:pPr>
    </w:p>
    <w:p w14:paraId="417D94E6" w14:textId="77777777" w:rsidR="0052275F" w:rsidRPr="00032CF3" w:rsidRDefault="0052275F" w:rsidP="0052275F">
      <w:pPr>
        <w:pStyle w:val="Heading3"/>
        <w:rPr>
          <w:rFonts w:cs="Arial"/>
        </w:rPr>
      </w:pPr>
      <w:bookmarkStart w:id="40" w:name="_Toc10223064"/>
      <w:r w:rsidRPr="00032CF3">
        <w:rPr>
          <w:rFonts w:cs="Arial"/>
        </w:rPr>
        <w:t>4.5.</w:t>
      </w:r>
      <w:r>
        <w:rPr>
          <w:rFonts w:cs="Arial"/>
        </w:rPr>
        <w:t>3</w:t>
      </w:r>
      <w:r w:rsidRPr="00032CF3">
        <w:rPr>
          <w:rFonts w:cs="Arial"/>
        </w:rPr>
        <w:tab/>
      </w:r>
      <w:r>
        <w:rPr>
          <w:rFonts w:cs="Arial"/>
        </w:rPr>
        <w:t xml:space="preserve"> </w:t>
      </w:r>
      <w:r w:rsidRPr="00032CF3">
        <w:rPr>
          <w:rFonts w:cs="Arial"/>
        </w:rPr>
        <w:t xml:space="preserve">Data </w:t>
      </w:r>
      <w:r>
        <w:rPr>
          <w:rFonts w:cs="Arial"/>
        </w:rPr>
        <w:t>and Cyber Security Standards</w:t>
      </w:r>
      <w:bookmarkEnd w:id="40"/>
    </w:p>
    <w:p w14:paraId="09C61193" w14:textId="77777777" w:rsidR="004A18F0" w:rsidRPr="00947CCD" w:rsidRDefault="004A18F0" w:rsidP="00E50720">
      <w:pPr>
        <w:spacing w:before="0" w:after="0" w:line="276" w:lineRule="auto"/>
        <w:jc w:val="both"/>
        <w:rPr>
          <w:rFonts w:cs="Arial"/>
          <w:vanish/>
          <w:szCs w:val="24"/>
          <w:lang w:val="en-US" w:eastAsia="en-GB"/>
        </w:rPr>
      </w:pPr>
      <w:r w:rsidRPr="00947CCD">
        <w:rPr>
          <w:rFonts w:cs="Arial"/>
          <w:vanish/>
          <w:szCs w:val="24"/>
          <w:lang w:val="en-US" w:eastAsia="en-GB"/>
        </w:rPr>
        <w:t>LHCRs must be able to demonstrate the security of the confidential patient information within their platform at rest and in transit. This is not limited to the successful completion and audit of the DSPT as there are other activities that the LHCRS need to undertake:</w:t>
      </w:r>
    </w:p>
    <w:p w14:paraId="0E9CFBF6" w14:textId="77777777" w:rsidR="004A18F0" w:rsidRPr="00947CCD" w:rsidRDefault="004A18F0" w:rsidP="00B914EE">
      <w:pPr>
        <w:pStyle w:val="ListParagraph"/>
        <w:numPr>
          <w:ilvl w:val="0"/>
          <w:numId w:val="38"/>
        </w:numPr>
        <w:tabs>
          <w:tab w:val="clear" w:pos="4890"/>
        </w:tabs>
        <w:spacing w:before="0" w:after="0" w:line="276" w:lineRule="auto"/>
        <w:rPr>
          <w:rFonts w:ascii="Arial" w:eastAsia="Times New Roman" w:hAnsi="Arial"/>
          <w:vanish/>
          <w:sz w:val="24"/>
          <w:szCs w:val="24"/>
          <w:lang w:val="en-US" w:eastAsia="en-GB"/>
        </w:rPr>
      </w:pPr>
      <w:r w:rsidRPr="00947CCD">
        <w:rPr>
          <w:rFonts w:ascii="Arial" w:eastAsia="Times New Roman" w:hAnsi="Arial"/>
          <w:vanish/>
          <w:sz w:val="24"/>
          <w:szCs w:val="24"/>
          <w:lang w:val="en-US" w:eastAsia="en-GB"/>
        </w:rPr>
        <w:t>LHCRs will comply with the National Data Guardian’s 10 Data Security standards</w:t>
      </w:r>
      <w:r w:rsidRPr="00947CCD">
        <w:rPr>
          <w:rStyle w:val="FootnoteReference"/>
          <w:rFonts w:ascii="Arial" w:eastAsia="Times New Roman" w:hAnsi="Arial"/>
          <w:vanish/>
          <w:sz w:val="24"/>
          <w:szCs w:val="24"/>
          <w:lang w:val="en-US" w:eastAsia="en-GB"/>
        </w:rPr>
        <w:footnoteReference w:id="11"/>
      </w:r>
      <w:r w:rsidRPr="00947CCD">
        <w:rPr>
          <w:rFonts w:ascii="Arial" w:eastAsia="Times New Roman" w:hAnsi="Arial"/>
          <w:vanish/>
          <w:sz w:val="24"/>
          <w:szCs w:val="24"/>
          <w:lang w:val="en-US" w:eastAsia="en-GB"/>
        </w:rPr>
        <w:t xml:space="preserve">. These standards apply to every organization handling health and social care information although the way the standards apply will vary according to the size and type of organisation. </w:t>
      </w:r>
    </w:p>
    <w:p w14:paraId="377AD1C0" w14:textId="77777777" w:rsidR="004A18F0" w:rsidRPr="00947CCD" w:rsidRDefault="004A18F0" w:rsidP="00B914EE">
      <w:pPr>
        <w:pStyle w:val="ListParagraph"/>
        <w:numPr>
          <w:ilvl w:val="0"/>
          <w:numId w:val="38"/>
        </w:numPr>
        <w:tabs>
          <w:tab w:val="clear" w:pos="4890"/>
        </w:tabs>
        <w:spacing w:before="0" w:after="0" w:line="276" w:lineRule="auto"/>
        <w:rPr>
          <w:rFonts w:ascii="Arial" w:eastAsia="Times New Roman" w:hAnsi="Arial"/>
          <w:vanish/>
          <w:sz w:val="24"/>
          <w:szCs w:val="24"/>
          <w:lang w:val="en-US" w:eastAsia="en-GB"/>
        </w:rPr>
      </w:pPr>
      <w:r w:rsidRPr="00947CCD">
        <w:rPr>
          <w:rFonts w:ascii="Arial" w:eastAsia="Times New Roman" w:hAnsi="Arial"/>
          <w:vanish/>
          <w:sz w:val="24"/>
          <w:szCs w:val="24"/>
          <w:lang w:val="en-US" w:eastAsia="en-GB"/>
        </w:rPr>
        <w:t>LHCRs will assure themselves of the security status of systems wishing to connect in-line with guidance developed in conjunction with NHS Digital and the National Cyber Security Centre (NCSC)</w:t>
      </w:r>
      <w:r w:rsidR="00E50720">
        <w:rPr>
          <w:rFonts w:ascii="Arial" w:eastAsia="Times New Roman" w:hAnsi="Arial"/>
          <w:vanish/>
          <w:sz w:val="24"/>
          <w:szCs w:val="24"/>
          <w:lang w:val="en-US" w:eastAsia="en-GB"/>
        </w:rPr>
        <w:t>.</w:t>
      </w:r>
    </w:p>
    <w:p w14:paraId="7DCD943A" w14:textId="77777777" w:rsidR="004A18F0" w:rsidRPr="00947CCD" w:rsidRDefault="004A18F0" w:rsidP="00B914EE">
      <w:pPr>
        <w:pStyle w:val="ListParagraph"/>
        <w:numPr>
          <w:ilvl w:val="0"/>
          <w:numId w:val="38"/>
        </w:numPr>
        <w:tabs>
          <w:tab w:val="clear" w:pos="4890"/>
        </w:tabs>
        <w:spacing w:before="0" w:after="0" w:line="276" w:lineRule="auto"/>
        <w:rPr>
          <w:rFonts w:ascii="Arial" w:eastAsia="Times New Roman" w:hAnsi="Arial"/>
          <w:vanish/>
          <w:sz w:val="24"/>
          <w:szCs w:val="24"/>
          <w:lang w:val="en-US" w:eastAsia="en-GB"/>
        </w:rPr>
      </w:pPr>
      <w:r w:rsidRPr="00947CCD">
        <w:rPr>
          <w:rFonts w:ascii="Arial" w:eastAsia="Times New Roman" w:hAnsi="Arial"/>
          <w:vanish/>
          <w:sz w:val="24"/>
          <w:szCs w:val="24"/>
          <w:lang w:val="en-US" w:eastAsia="en-GB"/>
        </w:rPr>
        <w:t>LHCRs will undertake independent onsite assessments and work with the programme, NHS Digital and NCSC to achieve an appropriate level of cyber security in line with industry best practice</w:t>
      </w:r>
      <w:r w:rsidR="00E50720">
        <w:rPr>
          <w:rFonts w:ascii="Arial" w:eastAsia="Times New Roman" w:hAnsi="Arial"/>
          <w:vanish/>
          <w:sz w:val="24"/>
          <w:szCs w:val="24"/>
          <w:lang w:val="en-US" w:eastAsia="en-GB"/>
        </w:rPr>
        <w:t>.</w:t>
      </w:r>
    </w:p>
    <w:p w14:paraId="52BC8156" w14:textId="77777777" w:rsidR="00E50720" w:rsidRDefault="004A18F0" w:rsidP="00E50720">
      <w:pPr>
        <w:spacing w:before="0" w:after="0" w:line="276" w:lineRule="auto"/>
        <w:jc w:val="both"/>
        <w:rPr>
          <w:rFonts w:cs="Arial"/>
          <w:szCs w:val="24"/>
        </w:rPr>
      </w:pPr>
      <w:r w:rsidRPr="00032CF3">
        <w:rPr>
          <w:rFonts w:cs="Arial"/>
          <w:szCs w:val="24"/>
        </w:rPr>
        <w:t>For tools and templates to support this section please see Appendix H (4.5).</w:t>
      </w:r>
    </w:p>
    <w:p w14:paraId="24BA9B48" w14:textId="77777777" w:rsidR="00E50720" w:rsidRPr="00E50720" w:rsidRDefault="00E50720" w:rsidP="00E50720">
      <w:pPr>
        <w:spacing w:before="0" w:after="0" w:line="276" w:lineRule="auto"/>
        <w:jc w:val="both"/>
        <w:rPr>
          <w:rFonts w:cs="Arial"/>
          <w:szCs w:val="24"/>
        </w:rPr>
      </w:pPr>
    </w:p>
    <w:p w14:paraId="25E3E73C" w14:textId="77777777" w:rsidR="00E50720" w:rsidRDefault="00773591" w:rsidP="00E50720">
      <w:pPr>
        <w:jc w:val="both"/>
        <w:rPr>
          <w:rStyle w:val="Heading3Char"/>
        </w:rPr>
      </w:pPr>
      <w:bookmarkStart w:id="41" w:name="_Hlk4676816"/>
      <w:bookmarkStart w:id="42" w:name="_Toc10223065"/>
      <w:r w:rsidRPr="00E50720">
        <w:rPr>
          <w:rStyle w:val="Heading3Char"/>
        </w:rPr>
        <w:t>4</w:t>
      </w:r>
      <w:r w:rsidR="00631AEB" w:rsidRPr="00E50720">
        <w:rPr>
          <w:rStyle w:val="Heading3Char"/>
        </w:rPr>
        <w:t>.5.</w:t>
      </w:r>
      <w:r w:rsidRPr="00E50720">
        <w:rPr>
          <w:rStyle w:val="Heading3Char"/>
        </w:rPr>
        <w:t>4</w:t>
      </w:r>
      <w:r w:rsidR="00631AEB" w:rsidRPr="00E50720">
        <w:rPr>
          <w:rStyle w:val="Heading3Char"/>
        </w:rPr>
        <w:tab/>
        <w:t xml:space="preserve"> </w:t>
      </w:r>
      <w:r w:rsidRPr="00E50720">
        <w:rPr>
          <w:rStyle w:val="Heading3Char"/>
        </w:rPr>
        <w:t xml:space="preserve">Effective </w:t>
      </w:r>
      <w:r w:rsidR="00631AEB" w:rsidRPr="00E50720">
        <w:rPr>
          <w:rStyle w:val="Heading3Char"/>
        </w:rPr>
        <w:t xml:space="preserve">Cyber Threat </w:t>
      </w:r>
      <w:r w:rsidRPr="00E50720">
        <w:rPr>
          <w:rStyle w:val="Heading3Char"/>
        </w:rPr>
        <w:t>Situational Awareness</w:t>
      </w:r>
      <w:bookmarkEnd w:id="42"/>
    </w:p>
    <w:p w14:paraId="332AA69D" w14:textId="77777777" w:rsidR="00773591" w:rsidRPr="00E50720" w:rsidRDefault="00773591" w:rsidP="00E12E4E">
      <w:pPr>
        <w:spacing w:before="0" w:after="0" w:line="276" w:lineRule="auto"/>
        <w:jc w:val="both"/>
        <w:rPr>
          <w:rFonts w:cs="Arial"/>
          <w:color w:val="0D0D0D" w:themeColor="text1" w:themeTint="F2"/>
          <w:szCs w:val="24"/>
        </w:rPr>
      </w:pPr>
      <w:r w:rsidRPr="00E50720">
        <w:rPr>
          <w:rFonts w:cs="Arial"/>
          <w:szCs w:val="24"/>
        </w:rPr>
        <w:t>Organisations need to have effective cyber threat situational awareness so that they can respond in a timely, effective and safe manner to cyber threats and risk to their data and technology. Care Computer Emergency Response Team (CareCERT) is established by NHS Digital to provide threat intelligence, advice and guidance to support</w:t>
      </w:r>
      <w:r w:rsidR="00242A45" w:rsidRPr="00E50720">
        <w:rPr>
          <w:rFonts w:cs="Arial"/>
          <w:color w:val="0D0D0D" w:themeColor="text1" w:themeTint="F2"/>
          <w:szCs w:val="24"/>
        </w:rPr>
        <w:t xml:space="preserve"> health and social care organisations </w:t>
      </w:r>
      <w:r w:rsidRPr="00E50720">
        <w:rPr>
          <w:rFonts w:cs="Arial"/>
          <w:color w:val="0D0D0D" w:themeColor="text1" w:themeTint="F2"/>
          <w:szCs w:val="24"/>
        </w:rPr>
        <w:t>in this task.</w:t>
      </w:r>
    </w:p>
    <w:p w14:paraId="0646A942" w14:textId="77777777" w:rsidR="00242A45" w:rsidRPr="00E50720" w:rsidRDefault="00242A45" w:rsidP="00E12E4E">
      <w:pPr>
        <w:spacing w:before="0" w:after="0" w:line="276" w:lineRule="auto"/>
        <w:jc w:val="both"/>
        <w:rPr>
          <w:rFonts w:cs="Arial"/>
          <w:color w:val="0D0D0D" w:themeColor="text1" w:themeTint="F2"/>
          <w:szCs w:val="24"/>
        </w:rPr>
      </w:pPr>
    </w:p>
    <w:bookmarkEnd w:id="41"/>
    <w:p w14:paraId="5FD802BF" w14:textId="77777777" w:rsidR="001B37E5" w:rsidRPr="00E50720" w:rsidRDefault="001B37E5" w:rsidP="00E12E4E">
      <w:pPr>
        <w:spacing w:before="0" w:after="0" w:line="276" w:lineRule="auto"/>
        <w:jc w:val="both"/>
        <w:rPr>
          <w:rFonts w:cs="Arial"/>
          <w:szCs w:val="24"/>
        </w:rPr>
      </w:pPr>
      <w:r w:rsidRPr="00E50720">
        <w:rPr>
          <w:rFonts w:cs="Arial"/>
          <w:color w:val="0D0D0D" w:themeColor="text1" w:themeTint="F2"/>
          <w:szCs w:val="24"/>
          <w:lang w:eastAsia="en-GB"/>
        </w:rPr>
        <w:t xml:space="preserve">Organisations on the N3/TN/ HSCN network can </w:t>
      </w:r>
      <w:r>
        <w:rPr>
          <w:rFonts w:cs="Arial"/>
          <w:color w:val="0D0D0D" w:themeColor="text1" w:themeTint="F2"/>
          <w:szCs w:val="24"/>
          <w:lang w:eastAsia="en-GB"/>
        </w:rPr>
        <w:t>access</w:t>
      </w:r>
      <w:r w:rsidRPr="00E50720">
        <w:rPr>
          <w:rFonts w:cs="Arial"/>
          <w:color w:val="0D0D0D" w:themeColor="text1" w:themeTint="F2"/>
          <w:szCs w:val="24"/>
          <w:lang w:eastAsia="en-GB"/>
        </w:rPr>
        <w:t xml:space="preserve"> the CareCERT Information Sharing Portal which </w:t>
      </w:r>
      <w:r>
        <w:rPr>
          <w:rFonts w:cs="Arial"/>
          <w:color w:val="0D0D0D" w:themeColor="text1" w:themeTint="F2"/>
          <w:szCs w:val="24"/>
          <w:lang w:eastAsia="en-GB"/>
        </w:rPr>
        <w:t>provides</w:t>
      </w:r>
      <w:r w:rsidRPr="00E50720">
        <w:rPr>
          <w:rFonts w:cs="Arial"/>
          <w:color w:val="0D0D0D" w:themeColor="text1" w:themeTint="F2"/>
          <w:szCs w:val="24"/>
          <w:lang w:eastAsia="en-GB"/>
        </w:rPr>
        <w:t xml:space="preserve"> threat intelligence and information security alerts. </w:t>
      </w:r>
      <w:r w:rsidRPr="007F3B31">
        <w:rPr>
          <w:rFonts w:cs="Arial"/>
          <w:color w:val="0D0D0D" w:themeColor="text1" w:themeTint="F2"/>
          <w:szCs w:val="24"/>
          <w:lang w:eastAsia="en-GB"/>
        </w:rPr>
        <w:t xml:space="preserve">Organisations that </w:t>
      </w:r>
      <w:r w:rsidRPr="00332492">
        <w:rPr>
          <w:rFonts w:cs="Arial"/>
          <w:color w:val="0D0D0D" w:themeColor="text1" w:themeTint="F2"/>
          <w:szCs w:val="24"/>
          <w:lang w:eastAsia="en-GB"/>
        </w:rPr>
        <w:t xml:space="preserve">are not </w:t>
      </w:r>
      <w:r w:rsidRPr="00332492">
        <w:rPr>
          <w:rFonts w:cs="Arial"/>
          <w:color w:val="0D0D0D" w:themeColor="text1" w:themeTint="F2"/>
          <w:szCs w:val="24"/>
        </w:rPr>
        <w:t>on the N3/TN/HSCN</w:t>
      </w:r>
      <w:r w:rsidRPr="00226D5F">
        <w:rPr>
          <w:rFonts w:cs="Arial"/>
          <w:color w:val="0D0D0D" w:themeColor="text1" w:themeTint="F2"/>
          <w:szCs w:val="24"/>
        </w:rPr>
        <w:t xml:space="preserve"> network (such as some Social Care Providers) </w:t>
      </w:r>
      <w:r w:rsidRPr="008C24A7">
        <w:rPr>
          <w:rFonts w:cs="Arial"/>
          <w:color w:val="0D0D0D" w:themeColor="text1" w:themeTint="F2"/>
          <w:szCs w:val="24"/>
        </w:rPr>
        <w:t xml:space="preserve">will not be able to access CareCERT </w:t>
      </w:r>
      <w:r w:rsidRPr="008C24A7">
        <w:rPr>
          <w:rFonts w:cs="Arial"/>
          <w:szCs w:val="24"/>
        </w:rPr>
        <w:t xml:space="preserve">Information Sharing Portal however, these organisations can sign up to receive a weekly bulletin of threat intelligence articles taken from the Portal by sending an email to </w:t>
      </w:r>
      <w:r>
        <w:rPr>
          <w:rFonts w:cs="Arial"/>
          <w:szCs w:val="24"/>
        </w:rPr>
        <w:t>carecert@nhsdigital.nhs.uk (organisations that ‘are’ on N3 should also do this anyway unless they plan to check the portal every week).</w:t>
      </w:r>
    </w:p>
    <w:p w14:paraId="7CEE34F2" w14:textId="77777777" w:rsidR="00242A45" w:rsidRDefault="00242A45" w:rsidP="00CB2BDD">
      <w:pPr>
        <w:jc w:val="both"/>
        <w:rPr>
          <w:rFonts w:cs="Arial"/>
          <w:color w:val="FF0000"/>
          <w:szCs w:val="24"/>
        </w:rPr>
      </w:pPr>
    </w:p>
    <w:tbl>
      <w:tblPr>
        <w:tblStyle w:val="TableElegant"/>
        <w:tblW w:w="10031" w:type="dxa"/>
        <w:shd w:val="clear" w:color="auto" w:fill="F2F2F2" w:themeFill="background1" w:themeFillShade="F2"/>
        <w:tblLook w:val="04A0" w:firstRow="1" w:lastRow="0" w:firstColumn="1" w:lastColumn="0" w:noHBand="0" w:noVBand="1"/>
      </w:tblPr>
      <w:tblGrid>
        <w:gridCol w:w="10031"/>
      </w:tblGrid>
      <w:tr w:rsidR="00086A7D" w:rsidRPr="008C24A7" w14:paraId="303D7443" w14:textId="77777777" w:rsidTr="42490368">
        <w:trPr>
          <w:cnfStyle w:val="100000000000" w:firstRow="1" w:lastRow="0" w:firstColumn="0" w:lastColumn="0" w:oddVBand="0" w:evenVBand="0" w:oddHBand="0" w:evenHBand="0" w:firstRowFirstColumn="0" w:firstRowLastColumn="0" w:lastRowFirstColumn="0" w:lastRowLastColumn="0"/>
        </w:trPr>
        <w:tc>
          <w:tcPr>
            <w:tcW w:w="10031" w:type="dxa"/>
            <w:shd w:val="clear" w:color="auto" w:fill="F2F2F2" w:themeFill="background1" w:themeFillShade="F2"/>
          </w:tcPr>
          <w:p w14:paraId="597226C4" w14:textId="77777777" w:rsidR="00086A7D" w:rsidRPr="008C24A7" w:rsidRDefault="00086A7D" w:rsidP="00156FDC">
            <w:pPr>
              <w:spacing w:before="0" w:after="0" w:line="276" w:lineRule="auto"/>
              <w:jc w:val="both"/>
              <w:rPr>
                <w:rFonts w:cs="Arial"/>
                <w:b/>
                <w:caps w:val="0"/>
                <w:color w:val="000000" w:themeColor="text1"/>
                <w:szCs w:val="24"/>
              </w:rPr>
            </w:pPr>
            <w:r w:rsidRPr="008C24A7">
              <w:rPr>
                <w:rFonts w:cs="Arial"/>
                <w:b/>
                <w:caps w:val="0"/>
                <w:color w:val="000000" w:themeColor="text1"/>
                <w:szCs w:val="24"/>
              </w:rPr>
              <w:t xml:space="preserve">Assurance Checkpoints </w:t>
            </w:r>
          </w:p>
          <w:p w14:paraId="0B461AFA" w14:textId="77777777" w:rsidR="00356919" w:rsidRPr="008C24A7" w:rsidRDefault="00356919" w:rsidP="00B914EE">
            <w:pPr>
              <w:pStyle w:val="ListParagraph"/>
              <w:numPr>
                <w:ilvl w:val="0"/>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 xml:space="preserve">Publication and evidence of compliance with policies for areas such as staff training, internal audit, HR policies, retention and disposal schedules. </w:t>
            </w:r>
          </w:p>
          <w:p w14:paraId="1B85A045" w14:textId="77777777" w:rsidR="00086A7D" w:rsidRPr="008C24A7" w:rsidRDefault="003A7836" w:rsidP="00B914EE">
            <w:pPr>
              <w:pStyle w:val="ListParagraph"/>
              <w:numPr>
                <w:ilvl w:val="0"/>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Evidence of a</w:t>
            </w:r>
            <w:r w:rsidR="008A65C7" w:rsidRPr="008C24A7">
              <w:rPr>
                <w:rFonts w:ascii="Arial" w:hAnsi="Arial"/>
                <w:caps w:val="0"/>
                <w:color w:val="000000" w:themeColor="text1"/>
                <w:sz w:val="24"/>
                <w:szCs w:val="24"/>
              </w:rPr>
              <w:t>nnual complet</w:t>
            </w:r>
            <w:r w:rsidRPr="008C24A7">
              <w:rPr>
                <w:rFonts w:ascii="Arial" w:hAnsi="Arial"/>
                <w:caps w:val="0"/>
                <w:color w:val="000000" w:themeColor="text1"/>
                <w:sz w:val="24"/>
                <w:szCs w:val="24"/>
              </w:rPr>
              <w:t xml:space="preserve">ed and </w:t>
            </w:r>
            <w:r w:rsidR="00D0259C" w:rsidRPr="008C24A7">
              <w:rPr>
                <w:rFonts w:ascii="Arial" w:hAnsi="Arial"/>
                <w:caps w:val="0"/>
                <w:color w:val="000000" w:themeColor="text1"/>
                <w:sz w:val="24"/>
                <w:szCs w:val="24"/>
              </w:rPr>
              <w:t xml:space="preserve">(where </w:t>
            </w:r>
            <w:r w:rsidR="00FF4F28" w:rsidRPr="008C24A7">
              <w:rPr>
                <w:rFonts w:ascii="Arial" w:hAnsi="Arial"/>
                <w:caps w:val="0"/>
                <w:color w:val="000000" w:themeColor="text1"/>
                <w:sz w:val="24"/>
                <w:szCs w:val="24"/>
              </w:rPr>
              <w:t xml:space="preserve">there is a mandatory </w:t>
            </w:r>
            <w:r w:rsidR="00D0259C" w:rsidRPr="008C24A7">
              <w:rPr>
                <w:rFonts w:ascii="Arial" w:hAnsi="Arial"/>
                <w:caps w:val="0"/>
                <w:color w:val="000000" w:themeColor="text1"/>
                <w:sz w:val="24"/>
                <w:szCs w:val="24"/>
              </w:rPr>
              <w:t>require</w:t>
            </w:r>
            <w:r w:rsidR="00FF4F28" w:rsidRPr="008C24A7">
              <w:rPr>
                <w:rFonts w:ascii="Arial" w:hAnsi="Arial"/>
                <w:caps w:val="0"/>
                <w:color w:val="000000" w:themeColor="text1"/>
                <w:sz w:val="24"/>
                <w:szCs w:val="24"/>
              </w:rPr>
              <w:t>ment</w:t>
            </w:r>
            <w:r w:rsidR="00D0259C" w:rsidRPr="008C24A7">
              <w:rPr>
                <w:rFonts w:ascii="Arial" w:hAnsi="Arial"/>
                <w:caps w:val="0"/>
                <w:color w:val="000000" w:themeColor="text1"/>
                <w:sz w:val="24"/>
                <w:szCs w:val="24"/>
              </w:rPr>
              <w:t xml:space="preserve">) </w:t>
            </w:r>
            <w:r w:rsidR="002968F5" w:rsidRPr="008C24A7">
              <w:rPr>
                <w:rFonts w:ascii="Arial" w:hAnsi="Arial"/>
                <w:caps w:val="0"/>
                <w:color w:val="000000" w:themeColor="text1"/>
                <w:sz w:val="24"/>
                <w:szCs w:val="24"/>
              </w:rPr>
              <w:t xml:space="preserve">audited </w:t>
            </w:r>
            <w:r w:rsidR="00843EC9" w:rsidRPr="008C24A7">
              <w:rPr>
                <w:rFonts w:ascii="Arial" w:hAnsi="Arial"/>
                <w:caps w:val="0"/>
                <w:sz w:val="24"/>
                <w:szCs w:val="24"/>
              </w:rPr>
              <w:t xml:space="preserve">Data Security and Protection Toolkit </w:t>
            </w:r>
            <w:r w:rsidR="00A35B1E" w:rsidRPr="008C24A7">
              <w:rPr>
                <w:rFonts w:ascii="Arial" w:hAnsi="Arial"/>
                <w:caps w:val="0"/>
                <w:color w:val="000000" w:themeColor="text1"/>
                <w:sz w:val="24"/>
                <w:szCs w:val="24"/>
              </w:rPr>
              <w:t>to meet the mandated requirements</w:t>
            </w:r>
            <w:r w:rsidR="008A65C7" w:rsidRPr="008C24A7">
              <w:rPr>
                <w:rFonts w:ascii="Arial" w:hAnsi="Arial"/>
                <w:caps w:val="0"/>
                <w:color w:val="000000" w:themeColor="text1"/>
                <w:sz w:val="24"/>
                <w:szCs w:val="24"/>
              </w:rPr>
              <w:t xml:space="preserve"> for example</w:t>
            </w:r>
          </w:p>
          <w:p w14:paraId="70623A6D" w14:textId="77777777" w:rsidR="008A65C7" w:rsidRPr="008C24A7" w:rsidRDefault="008A65C7" w:rsidP="00B914EE">
            <w:pPr>
              <w:pStyle w:val="ListParagraph"/>
              <w:numPr>
                <w:ilvl w:val="2"/>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Records of processing activities are documented</w:t>
            </w:r>
          </w:p>
          <w:p w14:paraId="03684CC1" w14:textId="77777777" w:rsidR="00F66389" w:rsidRPr="008C24A7" w:rsidRDefault="00086A7D" w:rsidP="00B914EE">
            <w:pPr>
              <w:pStyle w:val="ListParagraph"/>
              <w:numPr>
                <w:ilvl w:val="2"/>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Cyber assurance</w:t>
            </w:r>
          </w:p>
          <w:p w14:paraId="535543FB" w14:textId="77777777" w:rsidR="009C34A9" w:rsidRPr="008C24A7" w:rsidRDefault="009C34A9" w:rsidP="00B914EE">
            <w:pPr>
              <w:pStyle w:val="ListParagraph"/>
              <w:numPr>
                <w:ilvl w:val="0"/>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Evidence of independent onsite assessments</w:t>
            </w:r>
          </w:p>
          <w:p w14:paraId="091DD30C" w14:textId="77777777" w:rsidR="00A35B1E" w:rsidRPr="008C24A7" w:rsidRDefault="00A35B1E" w:rsidP="00B914EE">
            <w:pPr>
              <w:pStyle w:val="ListParagraph"/>
              <w:numPr>
                <w:ilvl w:val="0"/>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Board approved action plan if mandated requirements not met</w:t>
            </w:r>
          </w:p>
          <w:p w14:paraId="5836252F" w14:textId="77777777" w:rsidR="00EA63C6" w:rsidRPr="008C24A7" w:rsidRDefault="00EA63C6" w:rsidP="00B914EE">
            <w:pPr>
              <w:pStyle w:val="ListParagraph"/>
              <w:numPr>
                <w:ilvl w:val="0"/>
                <w:numId w:val="27"/>
              </w:numPr>
              <w:autoSpaceDN w:val="0"/>
              <w:spacing w:before="0" w:after="0" w:line="276" w:lineRule="auto"/>
              <w:rPr>
                <w:rFonts w:ascii="Arial" w:hAnsi="Arial"/>
                <w:caps w:val="0"/>
                <w:color w:val="000000" w:themeColor="text1"/>
                <w:sz w:val="24"/>
                <w:szCs w:val="24"/>
              </w:rPr>
            </w:pPr>
            <w:r w:rsidRPr="008C24A7">
              <w:rPr>
                <w:rFonts w:ascii="Arial" w:hAnsi="Arial"/>
                <w:caps w:val="0"/>
                <w:color w:val="000000" w:themeColor="text1"/>
                <w:sz w:val="24"/>
                <w:szCs w:val="24"/>
              </w:rPr>
              <w:t>Evidence of</w:t>
            </w:r>
            <w:r w:rsidR="00242A45" w:rsidRPr="008C24A7">
              <w:rPr>
                <w:rFonts w:ascii="Arial" w:hAnsi="Arial"/>
                <w:caps w:val="0"/>
                <w:color w:val="000000" w:themeColor="text1"/>
                <w:sz w:val="24"/>
                <w:szCs w:val="24"/>
              </w:rPr>
              <w:t xml:space="preserve"> organisations signed up to receive </w:t>
            </w:r>
            <w:r w:rsidR="00BD5605" w:rsidRPr="008C24A7">
              <w:rPr>
                <w:rFonts w:ascii="Arial" w:hAnsi="Arial"/>
                <w:caps w:val="0"/>
                <w:color w:val="000000" w:themeColor="text1"/>
                <w:sz w:val="24"/>
                <w:szCs w:val="24"/>
              </w:rPr>
              <w:t xml:space="preserve">cyber </w:t>
            </w:r>
            <w:r w:rsidR="00242A45" w:rsidRPr="008C24A7">
              <w:rPr>
                <w:rFonts w:ascii="Arial" w:hAnsi="Arial"/>
                <w:caps w:val="0"/>
                <w:color w:val="000000" w:themeColor="text1"/>
                <w:sz w:val="24"/>
                <w:szCs w:val="24"/>
              </w:rPr>
              <w:t xml:space="preserve">threat intelligence from </w:t>
            </w:r>
            <w:r w:rsidR="00BD5605" w:rsidRPr="008C24A7">
              <w:rPr>
                <w:rFonts w:ascii="Arial" w:hAnsi="Arial"/>
                <w:caps w:val="0"/>
                <w:color w:val="000000" w:themeColor="text1"/>
                <w:sz w:val="24"/>
                <w:szCs w:val="24"/>
              </w:rPr>
              <w:t xml:space="preserve">CareCERT </w:t>
            </w:r>
            <w:r w:rsidRPr="008C24A7">
              <w:rPr>
                <w:rFonts w:ascii="Arial" w:hAnsi="Arial"/>
                <w:caps w:val="0"/>
                <w:color w:val="000000" w:themeColor="text1"/>
                <w:sz w:val="24"/>
                <w:szCs w:val="24"/>
              </w:rPr>
              <w:t xml:space="preserve"> </w:t>
            </w:r>
            <w:r w:rsidR="00BD5605" w:rsidRPr="008C24A7" w:rsidDel="00BD5605">
              <w:rPr>
                <w:rFonts w:ascii="Arial" w:hAnsi="Arial"/>
                <w:caps w:val="0"/>
                <w:color w:val="000000" w:themeColor="text1"/>
                <w:sz w:val="24"/>
                <w:szCs w:val="24"/>
              </w:rPr>
              <w:t xml:space="preserve"> </w:t>
            </w:r>
          </w:p>
        </w:tc>
      </w:tr>
    </w:tbl>
    <w:p w14:paraId="40A1EF4E" w14:textId="77777777" w:rsidR="0032286B" w:rsidRDefault="0032286B" w:rsidP="0032286B">
      <w:pPr>
        <w:rPr>
          <w:rFonts w:cs="Arial"/>
        </w:rPr>
      </w:pPr>
    </w:p>
    <w:p w14:paraId="1F664952" w14:textId="77777777" w:rsidR="00E50720" w:rsidRPr="00032CF3" w:rsidRDefault="00E50720" w:rsidP="0032286B">
      <w:pPr>
        <w:rPr>
          <w:rFonts w:cs="Arial"/>
        </w:rPr>
      </w:pPr>
    </w:p>
    <w:p w14:paraId="32179B4B" w14:textId="77777777" w:rsidR="00C975B5" w:rsidRPr="00032CF3" w:rsidRDefault="00C975B5" w:rsidP="00C975B5">
      <w:pPr>
        <w:pStyle w:val="Heading2"/>
        <w:spacing w:before="0" w:after="0" w:line="276" w:lineRule="auto"/>
        <w:rPr>
          <w:rFonts w:cs="Arial"/>
        </w:rPr>
      </w:pPr>
      <w:bookmarkStart w:id="43" w:name="_Toc10223066"/>
      <w:r w:rsidRPr="00032CF3">
        <w:rPr>
          <w:rFonts w:cs="Arial"/>
        </w:rPr>
        <w:t>4.6 Data Access, Review and Retention</w:t>
      </w:r>
      <w:bookmarkEnd w:id="43"/>
    </w:p>
    <w:p w14:paraId="4EAD512E" w14:textId="77777777" w:rsidR="005B2508" w:rsidRPr="00032CF3" w:rsidRDefault="005B2508" w:rsidP="00A04AA6">
      <w:pPr>
        <w:spacing w:before="0" w:after="0" w:line="276" w:lineRule="auto"/>
        <w:rPr>
          <w:rFonts w:cs="Arial"/>
        </w:rPr>
      </w:pPr>
      <w:r w:rsidRPr="00032CF3">
        <w:rPr>
          <w:rFonts w:cs="Arial"/>
        </w:rPr>
        <w:t xml:space="preserve">When accessing data for </w:t>
      </w:r>
      <w:r w:rsidR="0099411B" w:rsidRPr="00032CF3">
        <w:rPr>
          <w:rFonts w:cs="Arial"/>
        </w:rPr>
        <w:t xml:space="preserve">individual </w:t>
      </w:r>
      <w:r w:rsidRPr="00032CF3">
        <w:rPr>
          <w:rFonts w:cs="Arial"/>
        </w:rPr>
        <w:t>care purposes</w:t>
      </w:r>
      <w:r w:rsidR="0099411B" w:rsidRPr="00032CF3">
        <w:rPr>
          <w:rFonts w:cs="Arial"/>
        </w:rPr>
        <w:t>,</w:t>
      </w:r>
      <w:r w:rsidRPr="00032CF3">
        <w:rPr>
          <w:rFonts w:cs="Arial"/>
        </w:rPr>
        <w:t xml:space="preserve"> consideration must be given to the polic</w:t>
      </w:r>
      <w:r w:rsidR="00083C4F" w:rsidRPr="00032CF3">
        <w:rPr>
          <w:rFonts w:cs="Arial"/>
        </w:rPr>
        <w:t>i</w:t>
      </w:r>
      <w:r w:rsidRPr="00032CF3">
        <w:rPr>
          <w:rFonts w:cs="Arial"/>
        </w:rPr>
        <w:t xml:space="preserve">es and processes </w:t>
      </w:r>
      <w:r w:rsidR="001A2976" w:rsidRPr="00032CF3">
        <w:rPr>
          <w:rFonts w:cs="Arial"/>
        </w:rPr>
        <w:t>used to support</w:t>
      </w:r>
      <w:r w:rsidRPr="00032CF3">
        <w:rPr>
          <w:rFonts w:cs="Arial"/>
        </w:rPr>
        <w:t xml:space="preserve"> that disclosure.</w:t>
      </w:r>
    </w:p>
    <w:p w14:paraId="6A102FBE" w14:textId="77777777" w:rsidR="00156FDC" w:rsidRPr="00032CF3" w:rsidRDefault="00156FDC" w:rsidP="00A04AA6">
      <w:pPr>
        <w:spacing w:before="0" w:after="0" w:line="276" w:lineRule="auto"/>
        <w:jc w:val="both"/>
        <w:rPr>
          <w:rFonts w:cs="Arial"/>
        </w:rPr>
      </w:pPr>
    </w:p>
    <w:p w14:paraId="0A048AA8" w14:textId="77777777" w:rsidR="005B2508" w:rsidRPr="00032CF3" w:rsidRDefault="001A2976" w:rsidP="00E50720">
      <w:pPr>
        <w:spacing w:before="0" w:after="0" w:line="276" w:lineRule="auto"/>
        <w:jc w:val="both"/>
        <w:rPr>
          <w:rFonts w:cs="Arial"/>
        </w:rPr>
      </w:pPr>
      <w:r w:rsidRPr="00032CF3">
        <w:rPr>
          <w:rFonts w:cs="Arial"/>
        </w:rPr>
        <w:t>Following</w:t>
      </w:r>
      <w:r w:rsidR="005B2508" w:rsidRPr="00032CF3">
        <w:rPr>
          <w:rFonts w:cs="Arial"/>
        </w:rPr>
        <w:t xml:space="preserve"> the </w:t>
      </w:r>
      <w:r w:rsidRPr="00032CF3">
        <w:rPr>
          <w:rFonts w:cs="Arial"/>
        </w:rPr>
        <w:t xml:space="preserve">data protection </w:t>
      </w:r>
      <w:r w:rsidR="005B2508" w:rsidRPr="00032CF3">
        <w:rPr>
          <w:rFonts w:cs="Arial"/>
        </w:rPr>
        <w:t>principles when using personal data</w:t>
      </w:r>
      <w:r w:rsidR="003D4737" w:rsidRPr="00032CF3">
        <w:rPr>
          <w:rFonts w:cs="Arial"/>
        </w:rPr>
        <w:t>, the amount of data should be adequate for the purpose and not excessive.</w:t>
      </w:r>
    </w:p>
    <w:p w14:paraId="6B480175" w14:textId="77777777" w:rsidR="00156FDC" w:rsidRPr="00032CF3" w:rsidRDefault="00156FDC" w:rsidP="00E50720">
      <w:pPr>
        <w:spacing w:before="0" w:after="0" w:line="276" w:lineRule="auto"/>
        <w:jc w:val="both"/>
        <w:rPr>
          <w:rFonts w:cs="Arial"/>
        </w:rPr>
      </w:pPr>
    </w:p>
    <w:p w14:paraId="446CC8B6" w14:textId="77777777" w:rsidR="005B2508" w:rsidRPr="00032CF3" w:rsidRDefault="005B2508" w:rsidP="00E50720">
      <w:pPr>
        <w:spacing w:before="0" w:after="0" w:line="276" w:lineRule="auto"/>
        <w:jc w:val="both"/>
        <w:rPr>
          <w:rFonts w:cs="Arial"/>
          <w:szCs w:val="22"/>
        </w:rPr>
      </w:pPr>
      <w:r w:rsidRPr="00032CF3">
        <w:rPr>
          <w:rFonts w:cs="Arial"/>
          <w:szCs w:val="22"/>
        </w:rPr>
        <w:t xml:space="preserve">Who has access and what they have access to needs to </w:t>
      </w:r>
      <w:r w:rsidR="00AD24BD" w:rsidRPr="00032CF3">
        <w:rPr>
          <w:rFonts w:cs="Arial"/>
          <w:szCs w:val="22"/>
        </w:rPr>
        <w:t xml:space="preserve">be </w:t>
      </w:r>
      <w:r w:rsidRPr="00032CF3">
        <w:rPr>
          <w:rFonts w:cs="Arial"/>
          <w:szCs w:val="22"/>
        </w:rPr>
        <w:t>worked out and made clear within the information sharing agreements and information provided to the public</w:t>
      </w:r>
      <w:r w:rsidR="001C4BE0" w:rsidRPr="00032CF3">
        <w:rPr>
          <w:rFonts w:cs="Arial"/>
          <w:szCs w:val="22"/>
        </w:rPr>
        <w:t>.</w:t>
      </w:r>
      <w:r w:rsidR="005B4E07" w:rsidRPr="00032CF3">
        <w:rPr>
          <w:rFonts w:cs="Arial"/>
          <w:szCs w:val="22"/>
        </w:rPr>
        <w:t xml:space="preserve"> </w:t>
      </w:r>
      <w:r w:rsidR="00145A16" w:rsidRPr="00032CF3">
        <w:rPr>
          <w:rFonts w:cs="Arial"/>
          <w:szCs w:val="22"/>
        </w:rPr>
        <w:t xml:space="preserve">  </w:t>
      </w:r>
      <w:r w:rsidR="005B4E07" w:rsidRPr="00032CF3">
        <w:rPr>
          <w:rFonts w:cs="Arial"/>
          <w:szCs w:val="22"/>
        </w:rPr>
        <w:t xml:space="preserve">An appropriate access control model delivers this commitment. </w:t>
      </w:r>
    </w:p>
    <w:p w14:paraId="1C5CB47A" w14:textId="77777777" w:rsidR="00E74C0D" w:rsidRDefault="00E74C0D" w:rsidP="00E50720">
      <w:pPr>
        <w:spacing w:before="0" w:after="0" w:line="276" w:lineRule="auto"/>
        <w:jc w:val="both"/>
        <w:rPr>
          <w:rFonts w:cs="Arial"/>
        </w:rPr>
      </w:pPr>
    </w:p>
    <w:p w14:paraId="2B84754D" w14:textId="77777777" w:rsidR="00035A05" w:rsidRDefault="00035A05" w:rsidP="00E50720">
      <w:pPr>
        <w:spacing w:before="0" w:after="0" w:line="276" w:lineRule="auto"/>
        <w:jc w:val="both"/>
        <w:rPr>
          <w:rFonts w:cs="Arial"/>
        </w:rPr>
      </w:pPr>
      <w:r w:rsidRPr="00035A05">
        <w:rPr>
          <w:rFonts w:cs="Arial"/>
        </w:rPr>
        <w:t xml:space="preserve">Patients have the right </w:t>
      </w:r>
      <w:r w:rsidRPr="00035A05">
        <w:rPr>
          <w:rFonts w:cs="Arial"/>
          <w:color w:val="000000" w:themeColor="text1"/>
          <w:lang w:val="en-US" w:eastAsia="en-GB"/>
        </w:rPr>
        <w:t xml:space="preserve">to know who has access rights and has accessed their record for processing. They also have the right to challenge that access. </w:t>
      </w:r>
      <w:r w:rsidRPr="00035A05">
        <w:rPr>
          <w:rFonts w:cs="Arial"/>
        </w:rPr>
        <w:t xml:space="preserve"> This is a fundamental principle and essential for maintaining public trust.</w:t>
      </w:r>
    </w:p>
    <w:p w14:paraId="1394E1AB" w14:textId="77777777" w:rsidR="00E50720" w:rsidRPr="00035A05" w:rsidRDefault="00E50720" w:rsidP="00E50720">
      <w:pPr>
        <w:spacing w:before="0" w:after="0" w:line="276" w:lineRule="auto"/>
        <w:jc w:val="both"/>
        <w:rPr>
          <w:rFonts w:cs="Arial"/>
        </w:rPr>
      </w:pPr>
    </w:p>
    <w:p w14:paraId="51A216AA" w14:textId="77777777" w:rsidR="00035A05" w:rsidRDefault="00035A05" w:rsidP="00035A05">
      <w:pPr>
        <w:spacing w:before="0" w:after="0" w:line="276" w:lineRule="auto"/>
        <w:jc w:val="both"/>
        <w:rPr>
          <w:rFonts w:cs="Arial"/>
        </w:rPr>
      </w:pPr>
      <w:r w:rsidRPr="00035A05">
        <w:rPr>
          <w:rFonts w:cs="Arial"/>
        </w:rPr>
        <w:t xml:space="preserve">LHCRs need to ensure that only health and care professionals who have a </w:t>
      </w:r>
      <w:r w:rsidRPr="00035A05">
        <w:rPr>
          <w:rFonts w:cs="Arial"/>
          <w:b/>
        </w:rPr>
        <w:t>legitimate relationship</w:t>
      </w:r>
      <w:r w:rsidRPr="00035A05">
        <w:rPr>
          <w:rFonts w:cs="Arial"/>
        </w:rPr>
        <w:t xml:space="preserve"> with the patient, in the delivery of their care, will have access to their patient record. This will ensure that the level of access to confidential patient information is “necessary and proportionate”.</w:t>
      </w:r>
    </w:p>
    <w:p w14:paraId="524C64C7" w14:textId="77777777" w:rsidR="00035A05" w:rsidRPr="00032CF3" w:rsidRDefault="00035A05" w:rsidP="00A04AA6">
      <w:pPr>
        <w:spacing w:before="0" w:after="0" w:line="276" w:lineRule="auto"/>
        <w:jc w:val="both"/>
        <w:rPr>
          <w:rFonts w:cs="Arial"/>
        </w:rPr>
      </w:pPr>
    </w:p>
    <w:p w14:paraId="57C30B25" w14:textId="77777777" w:rsidR="00F35B52" w:rsidRPr="00032CF3" w:rsidRDefault="003D4737" w:rsidP="00F35B52">
      <w:pPr>
        <w:spacing w:before="0" w:after="0" w:line="276" w:lineRule="auto"/>
        <w:jc w:val="both"/>
        <w:rPr>
          <w:rFonts w:cs="Arial"/>
        </w:rPr>
      </w:pPr>
      <w:r w:rsidRPr="00032CF3">
        <w:rPr>
          <w:rFonts w:cs="Arial"/>
        </w:rPr>
        <w:t>LHCR’s must include high</w:t>
      </w:r>
      <w:r w:rsidR="00A96FB3">
        <w:rPr>
          <w:rFonts w:cs="Arial"/>
        </w:rPr>
        <w:t>-</w:t>
      </w:r>
      <w:r w:rsidRPr="00032CF3">
        <w:rPr>
          <w:rFonts w:cs="Arial"/>
        </w:rPr>
        <w:t>level audit</w:t>
      </w:r>
      <w:r w:rsidR="00E74C0D" w:rsidRPr="00032CF3">
        <w:rPr>
          <w:rFonts w:cs="Arial"/>
        </w:rPr>
        <w:t xml:space="preserve"> functionality which enables controllers to meet their access control </w:t>
      </w:r>
      <w:r w:rsidR="00F35B52" w:rsidRPr="00032CF3">
        <w:rPr>
          <w:rFonts w:cs="Arial"/>
        </w:rPr>
        <w:t>responsibilities as well as being able to provide information to patients about who has accessed their records, when and why.</w:t>
      </w:r>
    </w:p>
    <w:p w14:paraId="708F7703" w14:textId="77777777" w:rsidR="006624EA" w:rsidRPr="00032CF3" w:rsidRDefault="006624EA" w:rsidP="00A04AA6">
      <w:pPr>
        <w:spacing w:before="0" w:after="0" w:line="276" w:lineRule="auto"/>
        <w:jc w:val="both"/>
        <w:rPr>
          <w:rFonts w:cs="Arial"/>
          <w:sz w:val="14"/>
        </w:rPr>
      </w:pPr>
    </w:p>
    <w:p w14:paraId="4AD58F7F" w14:textId="77777777" w:rsidR="00763940" w:rsidRPr="007D7ADC" w:rsidRDefault="00763940" w:rsidP="00763940">
      <w:pPr>
        <w:spacing w:before="0" w:after="0" w:line="276" w:lineRule="auto"/>
        <w:jc w:val="both"/>
        <w:rPr>
          <w:rFonts w:cs="Arial"/>
          <w:color w:val="000000" w:themeColor="text1"/>
        </w:rPr>
      </w:pPr>
      <w:r w:rsidRPr="007D7ADC">
        <w:rPr>
          <w:rFonts w:cs="Arial"/>
          <w:color w:val="000000" w:themeColor="text1"/>
        </w:rPr>
        <w:lastRenderedPageBreak/>
        <w:t>LHCR’s must ensure that they retain records in an accessible format until the relevant retention period is reached</w:t>
      </w:r>
      <w:r w:rsidR="00B837C2">
        <w:rPr>
          <w:rFonts w:cs="Arial"/>
          <w:color w:val="000000" w:themeColor="text1"/>
        </w:rPr>
        <w:t>, in line with the Records Management Code of Practice 2016</w:t>
      </w:r>
      <w:r w:rsidRPr="007D7ADC">
        <w:rPr>
          <w:rFonts w:cs="Arial"/>
          <w:color w:val="000000" w:themeColor="text1"/>
        </w:rPr>
        <w:t xml:space="preserve">.  A decision must then be made as to whether the record should be: </w:t>
      </w:r>
    </w:p>
    <w:p w14:paraId="7DEEDA11" w14:textId="77777777" w:rsidR="00763940" w:rsidRPr="007D7ADC" w:rsidRDefault="00763940" w:rsidP="00962AE5">
      <w:pPr>
        <w:pStyle w:val="ListParagraph"/>
        <w:numPr>
          <w:ilvl w:val="0"/>
          <w:numId w:val="22"/>
        </w:numPr>
        <w:spacing w:before="0" w:after="0" w:line="276" w:lineRule="auto"/>
        <w:rPr>
          <w:rFonts w:ascii="Arial" w:hAnsi="Arial"/>
          <w:color w:val="000000" w:themeColor="text1"/>
          <w:sz w:val="24"/>
        </w:rPr>
      </w:pPr>
      <w:r w:rsidRPr="007D7ADC">
        <w:rPr>
          <w:rFonts w:ascii="Arial" w:hAnsi="Arial"/>
          <w:color w:val="000000" w:themeColor="text1"/>
          <w:sz w:val="24"/>
        </w:rPr>
        <w:t>retained for a longer period (there must be a valid reason for this)</w:t>
      </w:r>
    </w:p>
    <w:p w14:paraId="4F30C3B3" w14:textId="77777777" w:rsidR="00763940" w:rsidRPr="007D7ADC" w:rsidRDefault="00763940" w:rsidP="00962AE5">
      <w:pPr>
        <w:pStyle w:val="ListParagraph"/>
        <w:numPr>
          <w:ilvl w:val="0"/>
          <w:numId w:val="22"/>
        </w:numPr>
        <w:spacing w:before="0" w:after="0" w:line="276" w:lineRule="auto"/>
        <w:rPr>
          <w:rFonts w:ascii="Arial" w:hAnsi="Arial"/>
          <w:color w:val="000000" w:themeColor="text1"/>
          <w:sz w:val="24"/>
        </w:rPr>
      </w:pPr>
      <w:r w:rsidRPr="007D7ADC">
        <w:rPr>
          <w:rFonts w:ascii="Arial" w:hAnsi="Arial"/>
          <w:color w:val="000000" w:themeColor="text1"/>
          <w:sz w:val="24"/>
        </w:rPr>
        <w:t xml:space="preserve">sent to a Place of Deposit </w:t>
      </w:r>
    </w:p>
    <w:p w14:paraId="1CD077E1" w14:textId="77777777" w:rsidR="00763940" w:rsidRPr="007D7ADC" w:rsidRDefault="00763940" w:rsidP="00962AE5">
      <w:pPr>
        <w:pStyle w:val="ListParagraph"/>
        <w:numPr>
          <w:ilvl w:val="0"/>
          <w:numId w:val="22"/>
        </w:numPr>
        <w:spacing w:before="0" w:after="0" w:line="276" w:lineRule="auto"/>
        <w:rPr>
          <w:rFonts w:ascii="Arial" w:hAnsi="Arial"/>
          <w:color w:val="000000" w:themeColor="text1"/>
          <w:sz w:val="24"/>
        </w:rPr>
      </w:pPr>
      <w:r w:rsidRPr="007D7ADC">
        <w:rPr>
          <w:rFonts w:ascii="Arial" w:hAnsi="Arial"/>
          <w:color w:val="000000" w:themeColor="text1"/>
          <w:sz w:val="24"/>
        </w:rPr>
        <w:t xml:space="preserve">destroyed / deleted. </w:t>
      </w:r>
    </w:p>
    <w:p w14:paraId="0493C204" w14:textId="77777777" w:rsidR="00153FAF" w:rsidRPr="00032CF3" w:rsidRDefault="00153FAF" w:rsidP="00A04AA6">
      <w:pPr>
        <w:spacing w:before="0" w:after="0" w:line="276" w:lineRule="auto"/>
        <w:jc w:val="both"/>
        <w:rPr>
          <w:rFonts w:cs="Arial"/>
          <w:sz w:val="14"/>
        </w:rPr>
      </w:pPr>
    </w:p>
    <w:p w14:paraId="3386CDAC" w14:textId="77777777" w:rsidR="006624EA" w:rsidRPr="00032CF3" w:rsidRDefault="006624EA" w:rsidP="00E50720">
      <w:pPr>
        <w:spacing w:before="0" w:after="0" w:line="276" w:lineRule="auto"/>
        <w:jc w:val="both"/>
        <w:rPr>
          <w:rFonts w:cs="Arial"/>
        </w:rPr>
      </w:pPr>
      <w:r w:rsidRPr="00032CF3">
        <w:rPr>
          <w:rFonts w:cs="Arial"/>
        </w:rPr>
        <w:t xml:space="preserve">For </w:t>
      </w:r>
      <w:r w:rsidR="00551359" w:rsidRPr="00032CF3">
        <w:rPr>
          <w:rFonts w:cs="Arial"/>
        </w:rPr>
        <w:t>t</w:t>
      </w:r>
      <w:r w:rsidRPr="00032CF3">
        <w:rPr>
          <w:rFonts w:cs="Arial"/>
        </w:rPr>
        <w:t>ools and templates to support th</w:t>
      </w:r>
      <w:r w:rsidR="00741463" w:rsidRPr="00032CF3">
        <w:rPr>
          <w:rFonts w:cs="Arial"/>
        </w:rPr>
        <w:t>is section please see Appendix H</w:t>
      </w:r>
      <w:r w:rsidRPr="00032CF3">
        <w:rPr>
          <w:rFonts w:cs="Arial"/>
        </w:rPr>
        <w:t xml:space="preserve"> (4.6)</w:t>
      </w:r>
      <w:r w:rsidR="00035A05">
        <w:rPr>
          <w:rFonts w:cs="Arial"/>
        </w:rPr>
        <w:t xml:space="preserve"> and Appendix P</w:t>
      </w:r>
      <w:r w:rsidRPr="00032CF3">
        <w:rPr>
          <w:rFonts w:cs="Arial"/>
        </w:rPr>
        <w:t>.</w:t>
      </w:r>
    </w:p>
    <w:p w14:paraId="558D1E7E" w14:textId="77777777" w:rsidR="006624EA" w:rsidRPr="00032CF3" w:rsidRDefault="006624EA" w:rsidP="00A04AA6">
      <w:pPr>
        <w:spacing w:before="0" w:after="0" w:line="276" w:lineRule="auto"/>
        <w:jc w:val="both"/>
        <w:rPr>
          <w:rFonts w:cs="Arial"/>
          <w:sz w:val="14"/>
        </w:rPr>
      </w:pPr>
    </w:p>
    <w:p w14:paraId="21D7ADE7" w14:textId="77777777" w:rsidR="00086A7D" w:rsidRPr="00032CF3" w:rsidRDefault="00086A7D" w:rsidP="00156FDC">
      <w:pPr>
        <w:spacing w:before="0" w:after="0" w:line="276" w:lineRule="auto"/>
        <w:jc w:val="both"/>
        <w:rPr>
          <w:rFonts w:cs="Arial"/>
          <w:sz w:val="14"/>
        </w:rPr>
      </w:pPr>
      <w:bookmarkStart w:id="44" w:name="_Hlk535229613"/>
    </w:p>
    <w:tbl>
      <w:tblPr>
        <w:tblStyle w:val="TableElegant"/>
        <w:tblW w:w="10031" w:type="dxa"/>
        <w:shd w:val="clear" w:color="auto" w:fill="F2F2F2" w:themeFill="background1" w:themeFillShade="F2"/>
        <w:tblLook w:val="04A0" w:firstRow="1" w:lastRow="0" w:firstColumn="1" w:lastColumn="0" w:noHBand="0" w:noVBand="1"/>
      </w:tblPr>
      <w:tblGrid>
        <w:gridCol w:w="10031"/>
      </w:tblGrid>
      <w:tr w:rsidR="00086A7D" w:rsidRPr="008C24A7" w14:paraId="584414B5" w14:textId="77777777" w:rsidTr="131E0157">
        <w:trPr>
          <w:cnfStyle w:val="100000000000" w:firstRow="1" w:lastRow="0" w:firstColumn="0" w:lastColumn="0" w:oddVBand="0" w:evenVBand="0" w:oddHBand="0" w:evenHBand="0" w:firstRowFirstColumn="0" w:firstRowLastColumn="0" w:lastRowFirstColumn="0" w:lastRowLastColumn="0"/>
        </w:trPr>
        <w:tc>
          <w:tcPr>
            <w:tcW w:w="10031" w:type="dxa"/>
            <w:shd w:val="clear" w:color="auto" w:fill="F2F2F2" w:themeFill="background1" w:themeFillShade="F2"/>
          </w:tcPr>
          <w:p w14:paraId="6A37407F" w14:textId="77777777" w:rsidR="009865BB" w:rsidRPr="008C24A7" w:rsidRDefault="009865BB" w:rsidP="009865BB">
            <w:pPr>
              <w:spacing w:before="0" w:after="0" w:line="276" w:lineRule="auto"/>
              <w:jc w:val="both"/>
              <w:rPr>
                <w:rFonts w:cs="Arial"/>
                <w:b/>
                <w:caps w:val="0"/>
                <w:color w:val="FF0000"/>
              </w:rPr>
            </w:pPr>
            <w:r w:rsidRPr="008C24A7">
              <w:rPr>
                <w:rFonts w:cs="Arial"/>
                <w:b/>
                <w:caps w:val="0"/>
              </w:rPr>
              <w:t>Assurance Checkpoint</w:t>
            </w:r>
          </w:p>
          <w:p w14:paraId="64B23036" w14:textId="77777777" w:rsidR="006C3458" w:rsidRPr="008C24A7" w:rsidRDefault="00086A7D"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Data Maps</w:t>
            </w:r>
          </w:p>
          <w:p w14:paraId="22F06CEC" w14:textId="77777777" w:rsidR="006C3458" w:rsidRPr="008C24A7" w:rsidRDefault="006C3458"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Data Processing Contract</w:t>
            </w:r>
          </w:p>
          <w:p w14:paraId="7C8F6363" w14:textId="77777777" w:rsidR="00086A7D" w:rsidRPr="008C24A7" w:rsidRDefault="00DD3F2B"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Evidence of approved and completed Data Protection Impact Assessment (</w:t>
            </w:r>
            <w:r w:rsidR="00086A7D" w:rsidRPr="008C24A7">
              <w:rPr>
                <w:rFonts w:ascii="Arial" w:hAnsi="Arial"/>
                <w:caps w:val="0"/>
                <w:sz w:val="24"/>
                <w:szCs w:val="24"/>
              </w:rPr>
              <w:t>DPIA</w:t>
            </w:r>
            <w:r w:rsidRPr="008C24A7">
              <w:rPr>
                <w:rFonts w:ascii="Arial" w:hAnsi="Arial"/>
                <w:caps w:val="0"/>
                <w:sz w:val="24"/>
                <w:szCs w:val="24"/>
              </w:rPr>
              <w:t>) for each data sharing purpose</w:t>
            </w:r>
          </w:p>
          <w:p w14:paraId="23E4BC03" w14:textId="77777777" w:rsidR="00086A7D" w:rsidRPr="008C24A7" w:rsidRDefault="00F0711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8C24A7">
              <w:rPr>
                <w:rFonts w:ascii="Arial" w:hAnsi="Arial"/>
                <w:caps w:val="0"/>
                <w:sz w:val="24"/>
                <w:szCs w:val="24"/>
              </w:rPr>
              <w:t>Data Sharing Agreement (</w:t>
            </w:r>
            <w:r w:rsidR="00086A7D" w:rsidRPr="008C24A7">
              <w:rPr>
                <w:rFonts w:ascii="Arial" w:hAnsi="Arial"/>
                <w:caps w:val="0"/>
                <w:sz w:val="24"/>
                <w:szCs w:val="24"/>
              </w:rPr>
              <w:t>DSA</w:t>
            </w:r>
            <w:r w:rsidRPr="008C24A7">
              <w:rPr>
                <w:rFonts w:ascii="Arial" w:hAnsi="Arial"/>
                <w:caps w:val="0"/>
                <w:sz w:val="24"/>
                <w:szCs w:val="24"/>
              </w:rPr>
              <w:t>)</w:t>
            </w:r>
          </w:p>
          <w:p w14:paraId="190D7A10" w14:textId="77777777" w:rsidR="00A829D1" w:rsidRPr="008C24A7" w:rsidRDefault="00DD3F2B"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rPr>
            </w:pPr>
            <w:r w:rsidRPr="008C24A7">
              <w:rPr>
                <w:rFonts w:ascii="Arial" w:hAnsi="Arial"/>
                <w:caps w:val="0"/>
                <w:sz w:val="24"/>
              </w:rPr>
              <w:t xml:space="preserve">Evidence of compliance with the </w:t>
            </w:r>
            <w:r w:rsidR="00C15979" w:rsidRPr="008C24A7">
              <w:rPr>
                <w:rFonts w:ascii="Arial" w:hAnsi="Arial"/>
                <w:caps w:val="0"/>
                <w:sz w:val="24"/>
              </w:rPr>
              <w:t>Records Management Code of Practice for Health and Social Care 2016</w:t>
            </w:r>
          </w:p>
          <w:p w14:paraId="3510696B" w14:textId="77777777" w:rsidR="00B90243" w:rsidRPr="008C24A7" w:rsidRDefault="00A8685B"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Cs w:val="20"/>
              </w:rPr>
            </w:pPr>
            <w:r w:rsidRPr="008C24A7">
              <w:rPr>
                <w:rFonts w:ascii="Arial" w:hAnsi="Arial"/>
                <w:caps w:val="0"/>
                <w:sz w:val="24"/>
              </w:rPr>
              <w:t>Policies and audit</w:t>
            </w:r>
          </w:p>
          <w:p w14:paraId="51A8EAC9" w14:textId="77777777" w:rsidR="00F0711F" w:rsidRPr="008C24A7" w:rsidRDefault="00DD3F2B"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Cs w:val="20"/>
              </w:rPr>
            </w:pPr>
            <w:r w:rsidRPr="008C24A7">
              <w:rPr>
                <w:rFonts w:ascii="Arial" w:hAnsi="Arial"/>
                <w:caps w:val="0"/>
                <w:sz w:val="24"/>
              </w:rPr>
              <w:t>Evidence of effective</w:t>
            </w:r>
            <w:r w:rsidR="00F0711F" w:rsidRPr="008C24A7">
              <w:rPr>
                <w:rFonts w:ascii="Arial" w:hAnsi="Arial"/>
                <w:caps w:val="0"/>
                <w:sz w:val="24"/>
              </w:rPr>
              <w:t xml:space="preserve"> Role Based Access Control (RBAC)</w:t>
            </w:r>
          </w:p>
        </w:tc>
      </w:tr>
      <w:bookmarkEnd w:id="44"/>
    </w:tbl>
    <w:p w14:paraId="46DB4EFA" w14:textId="77777777" w:rsidR="00156FDC" w:rsidRDefault="00156FDC" w:rsidP="00156FDC">
      <w:pPr>
        <w:pStyle w:val="Heading2"/>
        <w:spacing w:before="0" w:after="0" w:line="276" w:lineRule="auto"/>
        <w:rPr>
          <w:rFonts w:cs="Arial"/>
          <w:sz w:val="22"/>
        </w:rPr>
      </w:pPr>
    </w:p>
    <w:p w14:paraId="6671A3E3" w14:textId="77777777" w:rsidR="005A3F98" w:rsidRPr="005A3F98" w:rsidRDefault="005A3F98" w:rsidP="005A3F98"/>
    <w:p w14:paraId="30A917DA" w14:textId="77777777" w:rsidR="00086A7D" w:rsidRPr="00032CF3" w:rsidRDefault="00FD3B61" w:rsidP="00156FDC">
      <w:pPr>
        <w:pStyle w:val="Heading2"/>
        <w:spacing w:before="0" w:after="0" w:line="276" w:lineRule="auto"/>
        <w:rPr>
          <w:rFonts w:cs="Arial"/>
        </w:rPr>
      </w:pPr>
      <w:bookmarkStart w:id="45" w:name="_Hlk535230048"/>
      <w:bookmarkStart w:id="46" w:name="_Toc10223067"/>
      <w:r w:rsidRPr="00032CF3">
        <w:rPr>
          <w:rFonts w:cs="Arial"/>
        </w:rPr>
        <w:t>4.</w:t>
      </w:r>
      <w:r w:rsidR="0072370C" w:rsidRPr="00032CF3">
        <w:rPr>
          <w:rFonts w:cs="Arial"/>
        </w:rPr>
        <w:t>7</w:t>
      </w:r>
      <w:r w:rsidR="000E0016" w:rsidRPr="00032CF3">
        <w:rPr>
          <w:rFonts w:cs="Arial"/>
        </w:rPr>
        <w:t xml:space="preserve"> </w:t>
      </w:r>
      <w:r w:rsidR="00ED02C2" w:rsidRPr="00032CF3">
        <w:rPr>
          <w:rFonts w:cs="Arial"/>
        </w:rPr>
        <w:t>Individual Rights</w:t>
      </w:r>
      <w:bookmarkEnd w:id="46"/>
    </w:p>
    <w:p w14:paraId="6204DE9C" w14:textId="588701AA" w:rsidR="007D6175" w:rsidRPr="00032CF3" w:rsidRDefault="0099411B" w:rsidP="00A04AA6">
      <w:pPr>
        <w:spacing w:before="0" w:after="0" w:line="276" w:lineRule="auto"/>
        <w:jc w:val="both"/>
        <w:rPr>
          <w:rFonts w:cs="Arial"/>
          <w:szCs w:val="22"/>
        </w:rPr>
      </w:pPr>
      <w:r w:rsidRPr="00032CF3">
        <w:rPr>
          <w:rFonts w:cs="Arial"/>
          <w:szCs w:val="22"/>
        </w:rPr>
        <w:t>The GDPR offers indi</w:t>
      </w:r>
      <w:r w:rsidR="007D6175" w:rsidRPr="00032CF3">
        <w:rPr>
          <w:rFonts w:cs="Arial"/>
          <w:szCs w:val="22"/>
        </w:rPr>
        <w:t>v</w:t>
      </w:r>
      <w:r w:rsidRPr="00032CF3">
        <w:rPr>
          <w:rFonts w:cs="Arial"/>
          <w:szCs w:val="22"/>
        </w:rPr>
        <w:t>id</w:t>
      </w:r>
      <w:r w:rsidR="007D6175" w:rsidRPr="00032CF3">
        <w:rPr>
          <w:rFonts w:cs="Arial"/>
          <w:szCs w:val="22"/>
        </w:rPr>
        <w:t xml:space="preserve">uals </w:t>
      </w:r>
      <w:r w:rsidR="00276DE3">
        <w:rPr>
          <w:rFonts w:cs="Arial"/>
          <w:szCs w:val="22"/>
        </w:rPr>
        <w:t>clear</w:t>
      </w:r>
      <w:r w:rsidR="00276DE3" w:rsidRPr="00032CF3">
        <w:rPr>
          <w:rFonts w:cs="Arial"/>
          <w:szCs w:val="22"/>
        </w:rPr>
        <w:t xml:space="preserve"> </w:t>
      </w:r>
      <w:r w:rsidR="007D6175" w:rsidRPr="00032CF3">
        <w:rPr>
          <w:rFonts w:cs="Arial"/>
          <w:szCs w:val="22"/>
        </w:rPr>
        <w:t xml:space="preserve">rights in </w:t>
      </w:r>
      <w:r w:rsidRPr="00032CF3">
        <w:rPr>
          <w:rFonts w:cs="Arial"/>
          <w:szCs w:val="22"/>
        </w:rPr>
        <w:t>certain</w:t>
      </w:r>
      <w:r w:rsidR="007D6175" w:rsidRPr="00032CF3">
        <w:rPr>
          <w:rFonts w:cs="Arial"/>
          <w:szCs w:val="22"/>
        </w:rPr>
        <w:t xml:space="preserve"> circumstances</w:t>
      </w:r>
      <w:r w:rsidR="006D363A" w:rsidRPr="00032CF3">
        <w:rPr>
          <w:rFonts w:cs="Arial"/>
          <w:szCs w:val="22"/>
        </w:rPr>
        <w:t>;</w:t>
      </w:r>
      <w:r w:rsidR="007D6175" w:rsidRPr="00032CF3">
        <w:rPr>
          <w:rFonts w:cs="Arial"/>
          <w:szCs w:val="22"/>
        </w:rPr>
        <w:t xml:space="preserve"> those right</w:t>
      </w:r>
      <w:r w:rsidR="006D363A" w:rsidRPr="00032CF3">
        <w:rPr>
          <w:rFonts w:cs="Arial"/>
          <w:szCs w:val="22"/>
        </w:rPr>
        <w:t>s</w:t>
      </w:r>
      <w:r w:rsidR="007D6175" w:rsidRPr="00032CF3">
        <w:rPr>
          <w:rFonts w:cs="Arial"/>
          <w:szCs w:val="22"/>
        </w:rPr>
        <w:t xml:space="preserve"> are</w:t>
      </w:r>
      <w:r w:rsidR="006D363A" w:rsidRPr="00032CF3">
        <w:rPr>
          <w:rFonts w:cs="Arial"/>
          <w:szCs w:val="22"/>
        </w:rPr>
        <w:t>:</w:t>
      </w:r>
    </w:p>
    <w:p w14:paraId="6FDCED65" w14:textId="77777777" w:rsidR="000C5D1D" w:rsidRPr="00032CF3" w:rsidRDefault="000C5D1D" w:rsidP="00962AE5">
      <w:pPr>
        <w:pStyle w:val="ListParagraph"/>
        <w:numPr>
          <w:ilvl w:val="0"/>
          <w:numId w:val="18"/>
        </w:numPr>
        <w:spacing w:before="0" w:after="0" w:line="276" w:lineRule="auto"/>
        <w:rPr>
          <w:rFonts w:ascii="Arial" w:hAnsi="Arial"/>
          <w:sz w:val="24"/>
        </w:rPr>
      </w:pPr>
      <w:r w:rsidRPr="00032CF3">
        <w:rPr>
          <w:rFonts w:ascii="Arial" w:hAnsi="Arial"/>
          <w:sz w:val="24"/>
        </w:rPr>
        <w:t>Right to be informed</w:t>
      </w:r>
    </w:p>
    <w:p w14:paraId="098C3D05" w14:textId="77777777" w:rsidR="00C97BAE" w:rsidRPr="00032CF3" w:rsidRDefault="00C97BAE" w:rsidP="00962AE5">
      <w:pPr>
        <w:pStyle w:val="ListParagraph"/>
        <w:numPr>
          <w:ilvl w:val="0"/>
          <w:numId w:val="18"/>
        </w:numPr>
        <w:spacing w:before="0" w:after="0" w:line="276" w:lineRule="auto"/>
        <w:rPr>
          <w:rFonts w:ascii="Arial" w:hAnsi="Arial"/>
          <w:sz w:val="24"/>
        </w:rPr>
      </w:pPr>
      <w:r w:rsidRPr="00032CF3">
        <w:rPr>
          <w:rFonts w:ascii="Arial" w:hAnsi="Arial"/>
          <w:sz w:val="24"/>
        </w:rPr>
        <w:t>Right of access by the data subject</w:t>
      </w:r>
    </w:p>
    <w:p w14:paraId="640DB012" w14:textId="77777777" w:rsidR="00C97BAE" w:rsidRPr="00032CF3" w:rsidRDefault="00C97BAE" w:rsidP="00962AE5">
      <w:pPr>
        <w:pStyle w:val="ListParagraph"/>
        <w:numPr>
          <w:ilvl w:val="0"/>
          <w:numId w:val="18"/>
        </w:numPr>
        <w:spacing w:before="0" w:after="0" w:line="276" w:lineRule="auto"/>
        <w:rPr>
          <w:rFonts w:ascii="Arial" w:hAnsi="Arial"/>
          <w:sz w:val="24"/>
        </w:rPr>
      </w:pPr>
      <w:r w:rsidRPr="00032CF3">
        <w:rPr>
          <w:rFonts w:ascii="Arial" w:hAnsi="Arial"/>
          <w:sz w:val="24"/>
        </w:rPr>
        <w:t>Right to rectification</w:t>
      </w:r>
    </w:p>
    <w:p w14:paraId="7C2898C6" w14:textId="77777777" w:rsidR="00624CC0" w:rsidRPr="00032CF3" w:rsidRDefault="00C97BAE" w:rsidP="00962AE5">
      <w:pPr>
        <w:pStyle w:val="ListParagraph"/>
        <w:numPr>
          <w:ilvl w:val="0"/>
          <w:numId w:val="18"/>
        </w:numPr>
        <w:spacing w:before="0" w:after="0" w:line="276" w:lineRule="auto"/>
        <w:rPr>
          <w:rFonts w:ascii="Arial" w:hAnsi="Arial"/>
          <w:sz w:val="24"/>
        </w:rPr>
      </w:pPr>
      <w:r w:rsidRPr="00032CF3">
        <w:rPr>
          <w:rFonts w:ascii="Arial" w:hAnsi="Arial"/>
          <w:sz w:val="24"/>
        </w:rPr>
        <w:t>Right to erasure (Right to be forgotten)</w:t>
      </w:r>
    </w:p>
    <w:p w14:paraId="3C79D5E5" w14:textId="77777777" w:rsidR="00C975B5" w:rsidRPr="00032CF3" w:rsidRDefault="00C975B5" w:rsidP="00962AE5">
      <w:pPr>
        <w:pStyle w:val="ListParagraph"/>
        <w:numPr>
          <w:ilvl w:val="0"/>
          <w:numId w:val="18"/>
        </w:numPr>
        <w:spacing w:before="0" w:after="0" w:line="276" w:lineRule="auto"/>
        <w:rPr>
          <w:rFonts w:ascii="Arial" w:hAnsi="Arial"/>
          <w:sz w:val="24"/>
        </w:rPr>
      </w:pPr>
      <w:r w:rsidRPr="00032CF3">
        <w:rPr>
          <w:rFonts w:ascii="Arial" w:hAnsi="Arial"/>
          <w:sz w:val="24"/>
        </w:rPr>
        <w:t>Right to restriction of processing</w:t>
      </w:r>
    </w:p>
    <w:p w14:paraId="290F96AC" w14:textId="77777777" w:rsidR="00C975B5" w:rsidRPr="00032CF3" w:rsidRDefault="00C975B5" w:rsidP="00962AE5">
      <w:pPr>
        <w:pStyle w:val="ListParagraph"/>
        <w:numPr>
          <w:ilvl w:val="0"/>
          <w:numId w:val="18"/>
        </w:numPr>
        <w:spacing w:before="0" w:after="0" w:line="276" w:lineRule="auto"/>
        <w:rPr>
          <w:rFonts w:ascii="Arial" w:hAnsi="Arial"/>
          <w:sz w:val="24"/>
        </w:rPr>
      </w:pPr>
      <w:r w:rsidRPr="00032CF3">
        <w:rPr>
          <w:rFonts w:ascii="Arial" w:hAnsi="Arial"/>
          <w:sz w:val="24"/>
        </w:rPr>
        <w:t>Right to object to processing</w:t>
      </w:r>
    </w:p>
    <w:p w14:paraId="56140E36" w14:textId="77777777" w:rsidR="009E3516" w:rsidRPr="00032CF3" w:rsidRDefault="00C97BAE" w:rsidP="00962AE5">
      <w:pPr>
        <w:pStyle w:val="ListParagraph"/>
        <w:numPr>
          <w:ilvl w:val="0"/>
          <w:numId w:val="18"/>
        </w:numPr>
        <w:spacing w:before="0" w:after="0" w:line="276" w:lineRule="auto"/>
        <w:rPr>
          <w:rFonts w:ascii="Arial" w:hAnsi="Arial"/>
          <w:sz w:val="24"/>
        </w:rPr>
      </w:pPr>
      <w:r w:rsidRPr="00032CF3">
        <w:rPr>
          <w:rFonts w:ascii="Arial" w:hAnsi="Arial"/>
          <w:sz w:val="24"/>
        </w:rPr>
        <w:t>Right to data portability</w:t>
      </w:r>
    </w:p>
    <w:p w14:paraId="5A7223A1" w14:textId="77777777" w:rsidR="00C97BAE" w:rsidRPr="00032CF3" w:rsidRDefault="009E3516" w:rsidP="00962AE5">
      <w:pPr>
        <w:pStyle w:val="ListParagraph"/>
        <w:numPr>
          <w:ilvl w:val="0"/>
          <w:numId w:val="18"/>
        </w:numPr>
        <w:spacing w:before="0" w:after="0" w:line="276" w:lineRule="auto"/>
        <w:rPr>
          <w:rFonts w:ascii="Arial" w:hAnsi="Arial"/>
          <w:color w:val="000000" w:themeColor="text1"/>
          <w:sz w:val="24"/>
        </w:rPr>
      </w:pPr>
      <w:r w:rsidRPr="00032CF3">
        <w:rPr>
          <w:rFonts w:ascii="Arial" w:hAnsi="Arial"/>
          <w:color w:val="000000" w:themeColor="text1"/>
          <w:sz w:val="24"/>
        </w:rPr>
        <w:t>Righ</w:t>
      </w:r>
      <w:r w:rsidR="131E0157" w:rsidRPr="00032CF3">
        <w:rPr>
          <w:rFonts w:ascii="Arial" w:hAnsi="Arial"/>
          <w:color w:val="000000" w:themeColor="text1"/>
          <w:sz w:val="24"/>
        </w:rPr>
        <w:t>t</w:t>
      </w:r>
      <w:r w:rsidRPr="00032CF3">
        <w:rPr>
          <w:rFonts w:ascii="Arial" w:hAnsi="Arial"/>
          <w:color w:val="000000" w:themeColor="text1"/>
          <w:sz w:val="24"/>
        </w:rPr>
        <w:t>s in relation to automated decision making and profiling</w:t>
      </w:r>
    </w:p>
    <w:bookmarkEnd w:id="45"/>
    <w:p w14:paraId="67CDB48C" w14:textId="77777777" w:rsidR="00725FE4" w:rsidRPr="00032CF3" w:rsidRDefault="00725FE4" w:rsidP="00A04AA6">
      <w:pPr>
        <w:spacing w:before="0" w:after="0" w:line="276" w:lineRule="auto"/>
        <w:jc w:val="both"/>
        <w:rPr>
          <w:rFonts w:cs="Arial"/>
          <w:color w:val="000000" w:themeColor="text1"/>
          <w:szCs w:val="22"/>
        </w:rPr>
      </w:pPr>
    </w:p>
    <w:p w14:paraId="59944FA0" w14:textId="77777777" w:rsidR="00C04FDC" w:rsidRPr="00032CF3" w:rsidRDefault="00725FE4" w:rsidP="00A04AA6">
      <w:pPr>
        <w:spacing w:before="0" w:after="0" w:line="276" w:lineRule="auto"/>
        <w:jc w:val="both"/>
        <w:rPr>
          <w:rFonts w:cs="Arial"/>
          <w:color w:val="000000" w:themeColor="text1"/>
          <w:szCs w:val="22"/>
        </w:rPr>
      </w:pPr>
      <w:r w:rsidRPr="00032CF3">
        <w:rPr>
          <w:rFonts w:cs="Arial"/>
          <w:color w:val="000000" w:themeColor="text1"/>
          <w:szCs w:val="22"/>
        </w:rPr>
        <w:t>All organisations must have policies and procedures in place ensure the</w:t>
      </w:r>
      <w:r w:rsidR="00EF4E34">
        <w:rPr>
          <w:rFonts w:cs="Arial"/>
          <w:color w:val="000000" w:themeColor="text1"/>
          <w:szCs w:val="22"/>
        </w:rPr>
        <w:t xml:space="preserve"> </w:t>
      </w:r>
      <w:r w:rsidRPr="00032CF3">
        <w:rPr>
          <w:rFonts w:cs="Arial"/>
          <w:color w:val="000000" w:themeColor="text1"/>
          <w:szCs w:val="22"/>
        </w:rPr>
        <w:t xml:space="preserve">appropriate management of individual rights.  </w:t>
      </w:r>
      <w:r w:rsidR="00041859" w:rsidRPr="00032CF3">
        <w:rPr>
          <w:rFonts w:cs="Arial"/>
          <w:color w:val="000000" w:themeColor="text1"/>
          <w:szCs w:val="22"/>
        </w:rPr>
        <w:t>F</w:t>
      </w:r>
      <w:r w:rsidR="00C04FDC" w:rsidRPr="00032CF3">
        <w:rPr>
          <w:rFonts w:cs="Arial"/>
          <w:color w:val="000000" w:themeColor="text1"/>
          <w:szCs w:val="22"/>
        </w:rPr>
        <w:t xml:space="preserve">or more detail on Individual Rights </w:t>
      </w:r>
      <w:r w:rsidR="001A07C8" w:rsidRPr="00032CF3">
        <w:rPr>
          <w:rFonts w:cs="Arial"/>
          <w:color w:val="000000" w:themeColor="text1"/>
          <w:szCs w:val="22"/>
        </w:rPr>
        <w:t xml:space="preserve">and restrictions </w:t>
      </w:r>
      <w:r w:rsidR="00C04FDC" w:rsidRPr="00032CF3">
        <w:rPr>
          <w:rFonts w:cs="Arial"/>
          <w:color w:val="000000" w:themeColor="text1"/>
          <w:szCs w:val="22"/>
        </w:rPr>
        <w:t>under GDPR</w:t>
      </w:r>
      <w:r w:rsidR="00041859" w:rsidRPr="00032CF3">
        <w:rPr>
          <w:rFonts w:cs="Arial"/>
          <w:color w:val="000000" w:themeColor="text1"/>
          <w:szCs w:val="22"/>
        </w:rPr>
        <w:t xml:space="preserve"> see Appendix N.</w:t>
      </w:r>
    </w:p>
    <w:p w14:paraId="29BF9521" w14:textId="77777777" w:rsidR="00C04FDC" w:rsidRPr="00032CF3" w:rsidRDefault="00C04FDC" w:rsidP="00A04AA6">
      <w:pPr>
        <w:spacing w:before="0" w:after="0" w:line="276" w:lineRule="auto"/>
        <w:jc w:val="both"/>
        <w:rPr>
          <w:rFonts w:cs="Arial"/>
          <w:color w:val="000000" w:themeColor="text1"/>
          <w:szCs w:val="22"/>
        </w:rPr>
      </w:pPr>
    </w:p>
    <w:p w14:paraId="35C8CAF6" w14:textId="77777777" w:rsidR="002447F0" w:rsidRPr="00032CF3" w:rsidRDefault="002447F0" w:rsidP="002447F0">
      <w:pPr>
        <w:spacing w:before="0" w:after="0" w:line="276" w:lineRule="auto"/>
        <w:jc w:val="both"/>
        <w:rPr>
          <w:rFonts w:cs="Arial"/>
          <w:szCs w:val="22"/>
        </w:rPr>
      </w:pPr>
      <w:r w:rsidRPr="00032CF3">
        <w:rPr>
          <w:rFonts w:cs="Arial"/>
          <w:szCs w:val="22"/>
        </w:rPr>
        <w:t xml:space="preserve">Care should be taken to ensure that the LHCR is clear on which individual rights apply and have processes in place to ensure an individual can enact those rights. </w:t>
      </w:r>
    </w:p>
    <w:p w14:paraId="731F0D24" w14:textId="77777777" w:rsidR="00156FDC" w:rsidRPr="00032CF3" w:rsidRDefault="00156FDC" w:rsidP="00A04AA6">
      <w:pPr>
        <w:spacing w:before="0" w:after="0" w:line="276" w:lineRule="auto"/>
        <w:jc w:val="both"/>
        <w:rPr>
          <w:rFonts w:cs="Arial"/>
          <w:szCs w:val="22"/>
        </w:rPr>
      </w:pPr>
    </w:p>
    <w:p w14:paraId="09480CC0" w14:textId="77777777" w:rsidR="007D6175" w:rsidRPr="00032CF3" w:rsidRDefault="007D6175" w:rsidP="00A04AA6">
      <w:pPr>
        <w:spacing w:before="0" w:after="0" w:line="276" w:lineRule="auto"/>
        <w:jc w:val="both"/>
        <w:rPr>
          <w:rFonts w:cs="Arial"/>
          <w:szCs w:val="22"/>
        </w:rPr>
      </w:pPr>
      <w:r w:rsidRPr="00032CF3">
        <w:rPr>
          <w:rFonts w:cs="Arial"/>
          <w:szCs w:val="22"/>
        </w:rPr>
        <w:t>The application of individual rights is dependent upon the conditions for processing used for the sharing of the data.</w:t>
      </w:r>
    </w:p>
    <w:p w14:paraId="2C1DE02B" w14:textId="77777777" w:rsidR="00156FDC" w:rsidRPr="00032CF3" w:rsidRDefault="00156FDC" w:rsidP="00A04AA6">
      <w:pPr>
        <w:spacing w:before="0" w:after="0" w:line="276" w:lineRule="auto"/>
        <w:jc w:val="both"/>
        <w:rPr>
          <w:rFonts w:cs="Arial"/>
          <w:szCs w:val="22"/>
        </w:rPr>
      </w:pPr>
    </w:p>
    <w:p w14:paraId="112D90DD" w14:textId="77777777" w:rsidR="00D3024D" w:rsidRPr="00032CF3" w:rsidRDefault="00D3024D" w:rsidP="00D3024D">
      <w:pPr>
        <w:spacing w:before="0" w:after="0" w:line="276" w:lineRule="auto"/>
        <w:jc w:val="both"/>
        <w:rPr>
          <w:rFonts w:cs="Arial"/>
          <w:szCs w:val="22"/>
        </w:rPr>
      </w:pPr>
      <w:bookmarkStart w:id="47" w:name="_Hlk535231425"/>
      <w:r w:rsidRPr="00032CF3">
        <w:rPr>
          <w:rFonts w:cs="Arial"/>
          <w:szCs w:val="22"/>
        </w:rPr>
        <w:t>In all circumstances the individual has a right to obtain confirmation as to whether personal data is held about them and to have access to that data and the associated information namely;</w:t>
      </w:r>
    </w:p>
    <w:p w14:paraId="1C1B2D74" w14:textId="77777777" w:rsidR="00D3024D" w:rsidRPr="00032CF3" w:rsidRDefault="00D3024D" w:rsidP="00962AE5">
      <w:pPr>
        <w:pStyle w:val="ListParagraph"/>
        <w:numPr>
          <w:ilvl w:val="0"/>
          <w:numId w:val="19"/>
        </w:numPr>
        <w:spacing w:before="0" w:after="0" w:line="276" w:lineRule="auto"/>
        <w:rPr>
          <w:rFonts w:ascii="Arial" w:hAnsi="Arial"/>
          <w:sz w:val="24"/>
        </w:rPr>
      </w:pPr>
      <w:r w:rsidRPr="00032CF3">
        <w:rPr>
          <w:rFonts w:ascii="Arial" w:hAnsi="Arial"/>
          <w:sz w:val="24"/>
        </w:rPr>
        <w:t>the purposes of the processing</w:t>
      </w:r>
    </w:p>
    <w:p w14:paraId="59AB7356" w14:textId="77777777" w:rsidR="00D3024D" w:rsidRPr="00032CF3" w:rsidRDefault="00D3024D" w:rsidP="00962AE5">
      <w:pPr>
        <w:pStyle w:val="ListParagraph"/>
        <w:numPr>
          <w:ilvl w:val="0"/>
          <w:numId w:val="19"/>
        </w:numPr>
        <w:spacing w:before="0" w:after="0" w:line="276" w:lineRule="auto"/>
        <w:rPr>
          <w:rFonts w:ascii="Arial" w:hAnsi="Arial"/>
          <w:sz w:val="24"/>
        </w:rPr>
      </w:pPr>
      <w:r w:rsidRPr="00032CF3">
        <w:rPr>
          <w:rFonts w:ascii="Arial" w:hAnsi="Arial"/>
          <w:sz w:val="24"/>
        </w:rPr>
        <w:lastRenderedPageBreak/>
        <w:t>the categories of the data</w:t>
      </w:r>
    </w:p>
    <w:p w14:paraId="21748CED" w14:textId="77777777" w:rsidR="00D3024D" w:rsidRPr="00032CF3" w:rsidRDefault="00D3024D" w:rsidP="00962AE5">
      <w:pPr>
        <w:pStyle w:val="ListParagraph"/>
        <w:numPr>
          <w:ilvl w:val="0"/>
          <w:numId w:val="19"/>
        </w:numPr>
        <w:spacing w:before="0" w:after="0" w:line="276" w:lineRule="auto"/>
        <w:rPr>
          <w:rFonts w:ascii="Arial" w:hAnsi="Arial"/>
          <w:sz w:val="24"/>
        </w:rPr>
      </w:pPr>
      <w:r w:rsidRPr="00032CF3">
        <w:rPr>
          <w:rFonts w:ascii="Arial" w:hAnsi="Arial"/>
          <w:sz w:val="24"/>
        </w:rPr>
        <w:t>recipients of the data and who has accessed it</w:t>
      </w:r>
    </w:p>
    <w:p w14:paraId="0F4F1C0B" w14:textId="77777777" w:rsidR="00D3024D" w:rsidRPr="00032CF3" w:rsidRDefault="00D3024D" w:rsidP="00962AE5">
      <w:pPr>
        <w:pStyle w:val="ListParagraph"/>
        <w:numPr>
          <w:ilvl w:val="0"/>
          <w:numId w:val="19"/>
        </w:numPr>
        <w:spacing w:before="0" w:after="0" w:line="276" w:lineRule="auto"/>
        <w:rPr>
          <w:rFonts w:ascii="Arial" w:hAnsi="Arial"/>
          <w:sz w:val="24"/>
        </w:rPr>
      </w:pPr>
      <w:r w:rsidRPr="00032CF3">
        <w:rPr>
          <w:rFonts w:ascii="Arial" w:hAnsi="Arial"/>
          <w:sz w:val="24"/>
        </w:rPr>
        <w:t>how long the data will be stored</w:t>
      </w:r>
      <w:r w:rsidRPr="00EF4E34">
        <w:rPr>
          <w:rFonts w:ascii="Arial" w:hAnsi="Arial"/>
          <w:sz w:val="24"/>
        </w:rPr>
        <w:t xml:space="preserve"> and</w:t>
      </w:r>
      <w:r w:rsidRPr="00032CF3">
        <w:rPr>
          <w:rFonts w:ascii="Arial" w:hAnsi="Arial"/>
          <w:sz w:val="24"/>
          <w:u w:val="single"/>
        </w:rPr>
        <w:t xml:space="preserve"> </w:t>
      </w:r>
      <w:r w:rsidRPr="00032CF3">
        <w:rPr>
          <w:rFonts w:ascii="Arial" w:hAnsi="Arial"/>
          <w:sz w:val="24"/>
        </w:rPr>
        <w:t>the criteria used to determine that</w:t>
      </w:r>
    </w:p>
    <w:p w14:paraId="68F39175" w14:textId="77777777" w:rsidR="00D3024D" w:rsidRPr="00032CF3" w:rsidRDefault="00D3024D" w:rsidP="00962AE5">
      <w:pPr>
        <w:pStyle w:val="ListParagraph"/>
        <w:numPr>
          <w:ilvl w:val="0"/>
          <w:numId w:val="19"/>
        </w:numPr>
        <w:spacing w:before="0" w:after="0" w:line="276" w:lineRule="auto"/>
        <w:rPr>
          <w:rFonts w:ascii="Arial" w:hAnsi="Arial"/>
          <w:sz w:val="24"/>
        </w:rPr>
      </w:pPr>
      <w:r w:rsidRPr="00032CF3">
        <w:rPr>
          <w:rFonts w:ascii="Arial" w:hAnsi="Arial"/>
          <w:sz w:val="24"/>
        </w:rPr>
        <w:t>the existence of the right to request rectification or erasure, restriction and objection to processing should those rights be applicable</w:t>
      </w:r>
    </w:p>
    <w:p w14:paraId="63202FEF" w14:textId="77777777" w:rsidR="00A04AA6" w:rsidRPr="00032CF3" w:rsidRDefault="00A04AA6" w:rsidP="00A04AA6">
      <w:pPr>
        <w:spacing w:before="0" w:after="0" w:line="276" w:lineRule="auto"/>
        <w:jc w:val="both"/>
        <w:rPr>
          <w:rFonts w:cs="Arial"/>
          <w:szCs w:val="22"/>
        </w:rPr>
      </w:pPr>
    </w:p>
    <w:p w14:paraId="72C54514" w14:textId="4447DC82" w:rsidR="009D19AB" w:rsidRDefault="009D19AB" w:rsidP="009D19AB">
      <w:pPr>
        <w:spacing w:before="0" w:after="0" w:line="276" w:lineRule="auto"/>
        <w:jc w:val="both"/>
        <w:rPr>
          <w:rFonts w:cs="Arial"/>
          <w:szCs w:val="22"/>
        </w:rPr>
      </w:pPr>
      <w:r w:rsidRPr="009D19AB">
        <w:rPr>
          <w:rFonts w:cs="Arial"/>
          <w:szCs w:val="22"/>
        </w:rPr>
        <w:t xml:space="preserve">There needs to be a process in place to ensure that Subject Access Requests to the LHCR are responded to.  This </w:t>
      </w:r>
      <w:r>
        <w:rPr>
          <w:rFonts w:cs="Arial"/>
          <w:szCs w:val="22"/>
        </w:rPr>
        <w:t>sh</w:t>
      </w:r>
      <w:r w:rsidRPr="009D19AB">
        <w:rPr>
          <w:rFonts w:cs="Arial"/>
          <w:szCs w:val="22"/>
        </w:rPr>
        <w:t xml:space="preserve">ould be detailed in the </w:t>
      </w:r>
      <w:r>
        <w:rPr>
          <w:rFonts w:cs="Arial"/>
          <w:szCs w:val="22"/>
        </w:rPr>
        <w:t>joint controller arrangement</w:t>
      </w:r>
      <w:r w:rsidRPr="009D19AB">
        <w:rPr>
          <w:rFonts w:cs="Arial"/>
          <w:szCs w:val="22"/>
        </w:rPr>
        <w:t>.  An example of a process which has worked well in some areas is an information sharing group is established which leads on the request.  In the event of a Subject Access Request, each organisation contributing to the LHCR would be asked to send their redacted data to the information sharing group who would respond to the individual.</w:t>
      </w:r>
      <w:r w:rsidR="00F2626A">
        <w:rPr>
          <w:rFonts w:cs="Arial"/>
          <w:szCs w:val="22"/>
        </w:rPr>
        <w:t xml:space="preserve"> It must be made clear to individuals that this is the process in case some individuals do not want information sent outside the organisation that holds it. It such cases the ‘holding’ organisation should deal with the request on an exclusive basis.</w:t>
      </w:r>
    </w:p>
    <w:p w14:paraId="13E341BE" w14:textId="77777777" w:rsidR="00F2626A" w:rsidRPr="009D19AB" w:rsidRDefault="00F2626A" w:rsidP="009D19AB">
      <w:pPr>
        <w:spacing w:before="0" w:after="0" w:line="276" w:lineRule="auto"/>
        <w:jc w:val="both"/>
        <w:rPr>
          <w:rFonts w:cs="Arial"/>
          <w:szCs w:val="22"/>
        </w:rPr>
      </w:pPr>
    </w:p>
    <w:p w14:paraId="64DBDC62" w14:textId="77777777" w:rsidR="00F073BE" w:rsidRPr="00032CF3" w:rsidRDefault="00F073BE" w:rsidP="00A04AA6">
      <w:pPr>
        <w:spacing w:before="0" w:after="0" w:line="276" w:lineRule="auto"/>
        <w:jc w:val="both"/>
        <w:rPr>
          <w:rFonts w:cs="Arial"/>
          <w:szCs w:val="22"/>
        </w:rPr>
      </w:pPr>
      <w:r w:rsidRPr="00032CF3">
        <w:rPr>
          <w:rFonts w:cs="Arial"/>
          <w:szCs w:val="22"/>
        </w:rPr>
        <w:t xml:space="preserve">Fees can no longer be charged for </w:t>
      </w:r>
      <w:r w:rsidR="00F31559" w:rsidRPr="00032CF3">
        <w:rPr>
          <w:rFonts w:cs="Arial"/>
          <w:szCs w:val="22"/>
        </w:rPr>
        <w:t xml:space="preserve">subject access </w:t>
      </w:r>
      <w:r w:rsidRPr="00032CF3">
        <w:rPr>
          <w:rFonts w:cs="Arial"/>
          <w:szCs w:val="22"/>
        </w:rPr>
        <w:t xml:space="preserve">except in instances where the request is manifestly excessive or unfounded, particularly if it is repetitive. In these instances, organisations may charge a reasonable fee but this must only be based on admin costs involved in retrieving information. </w:t>
      </w:r>
    </w:p>
    <w:p w14:paraId="61A27F68" w14:textId="77777777" w:rsidR="006624EA" w:rsidRPr="00032CF3" w:rsidRDefault="006624EA" w:rsidP="00A04AA6">
      <w:pPr>
        <w:spacing w:before="0" w:after="0" w:line="276" w:lineRule="auto"/>
        <w:rPr>
          <w:rFonts w:cs="Arial"/>
          <w:szCs w:val="22"/>
        </w:rPr>
      </w:pPr>
    </w:p>
    <w:bookmarkEnd w:id="47"/>
    <w:p w14:paraId="31FE9086" w14:textId="77777777" w:rsidR="006624EA" w:rsidRPr="00032CF3" w:rsidRDefault="006624EA" w:rsidP="00A04AA6">
      <w:pPr>
        <w:spacing w:before="0" w:after="0" w:line="276" w:lineRule="auto"/>
        <w:rPr>
          <w:rFonts w:cs="Arial"/>
          <w:szCs w:val="22"/>
        </w:rPr>
      </w:pPr>
      <w:r w:rsidRPr="00032CF3">
        <w:rPr>
          <w:rFonts w:cs="Arial"/>
          <w:szCs w:val="22"/>
        </w:rPr>
        <w:t xml:space="preserve">For </w:t>
      </w:r>
      <w:r w:rsidR="00A82866" w:rsidRPr="00032CF3">
        <w:rPr>
          <w:rFonts w:cs="Arial"/>
          <w:szCs w:val="22"/>
        </w:rPr>
        <w:t>t</w:t>
      </w:r>
      <w:r w:rsidR="009B0923" w:rsidRPr="00032CF3">
        <w:rPr>
          <w:rFonts w:cs="Arial"/>
          <w:szCs w:val="22"/>
        </w:rPr>
        <w:t>ools</w:t>
      </w:r>
      <w:r w:rsidRPr="00032CF3">
        <w:rPr>
          <w:rFonts w:cs="Arial"/>
          <w:szCs w:val="22"/>
        </w:rPr>
        <w:t xml:space="preserve"> and templates to support this section please see Appendix </w:t>
      </w:r>
      <w:r w:rsidR="00741463" w:rsidRPr="00032CF3">
        <w:rPr>
          <w:rFonts w:cs="Arial"/>
          <w:szCs w:val="22"/>
        </w:rPr>
        <w:t>H</w:t>
      </w:r>
      <w:r w:rsidRPr="00032CF3">
        <w:rPr>
          <w:rFonts w:cs="Arial"/>
          <w:szCs w:val="22"/>
        </w:rPr>
        <w:t xml:space="preserve"> (4.7).</w:t>
      </w:r>
    </w:p>
    <w:p w14:paraId="0DFB330F" w14:textId="77777777" w:rsidR="00764201" w:rsidRPr="00032CF3" w:rsidRDefault="00764201" w:rsidP="00D3024D">
      <w:pPr>
        <w:spacing w:before="0" w:after="0" w:line="276" w:lineRule="auto"/>
        <w:jc w:val="both"/>
        <w:rPr>
          <w:rFonts w:cs="Arial"/>
          <w:szCs w:val="24"/>
        </w:rPr>
      </w:pPr>
    </w:p>
    <w:tbl>
      <w:tblPr>
        <w:tblStyle w:val="TableElegant"/>
        <w:tblW w:w="0" w:type="auto"/>
        <w:shd w:val="clear" w:color="auto" w:fill="F2F2F2" w:themeFill="background1" w:themeFillShade="F2"/>
        <w:tblLook w:val="04A0" w:firstRow="1" w:lastRow="0" w:firstColumn="1" w:lastColumn="0" w:noHBand="0" w:noVBand="1"/>
      </w:tblPr>
      <w:tblGrid>
        <w:gridCol w:w="9734"/>
      </w:tblGrid>
      <w:tr w:rsidR="0099411B" w:rsidRPr="00032CF3" w14:paraId="4F268573" w14:textId="77777777" w:rsidTr="003D6276">
        <w:trPr>
          <w:cnfStyle w:val="100000000000" w:firstRow="1" w:lastRow="0" w:firstColumn="0" w:lastColumn="0" w:oddVBand="0" w:evenVBand="0" w:oddHBand="0" w:evenHBand="0" w:firstRowFirstColumn="0" w:firstRowLastColumn="0" w:lastRowFirstColumn="0" w:lastRowLastColumn="0"/>
        </w:trPr>
        <w:tc>
          <w:tcPr>
            <w:tcW w:w="9770" w:type="dxa"/>
            <w:shd w:val="clear" w:color="auto" w:fill="F2F2F2" w:themeFill="background1" w:themeFillShade="F2"/>
          </w:tcPr>
          <w:p w14:paraId="78E279C6" w14:textId="77777777" w:rsidR="0099411B" w:rsidRPr="008C24A7" w:rsidRDefault="0099411B" w:rsidP="00156FDC">
            <w:pPr>
              <w:spacing w:before="0" w:after="0" w:line="276" w:lineRule="auto"/>
              <w:jc w:val="both"/>
              <w:rPr>
                <w:rFonts w:cs="Arial"/>
                <w:b/>
                <w:caps w:val="0"/>
              </w:rPr>
            </w:pPr>
            <w:r w:rsidRPr="008C24A7">
              <w:rPr>
                <w:rFonts w:cs="Arial"/>
                <w:b/>
                <w:caps w:val="0"/>
              </w:rPr>
              <w:t>Assurance Checkpoint</w:t>
            </w:r>
          </w:p>
          <w:p w14:paraId="23668B08" w14:textId="77777777" w:rsidR="0099411B" w:rsidRPr="008C24A7" w:rsidRDefault="0099411B" w:rsidP="00962AE5">
            <w:pPr>
              <w:pStyle w:val="ListParagraph"/>
              <w:numPr>
                <w:ilvl w:val="0"/>
                <w:numId w:val="14"/>
              </w:numPr>
              <w:autoSpaceDN w:val="0"/>
              <w:spacing w:before="0" w:after="0" w:line="276" w:lineRule="auto"/>
              <w:ind w:left="426"/>
              <w:rPr>
                <w:rFonts w:ascii="Arial" w:hAnsi="Arial"/>
                <w:caps w:val="0"/>
                <w:sz w:val="24"/>
                <w:szCs w:val="24"/>
              </w:rPr>
            </w:pPr>
            <w:r w:rsidRPr="008C24A7">
              <w:rPr>
                <w:rFonts w:ascii="Arial" w:hAnsi="Arial"/>
                <w:caps w:val="0"/>
                <w:sz w:val="24"/>
                <w:szCs w:val="24"/>
              </w:rPr>
              <w:t xml:space="preserve">Process in </w:t>
            </w:r>
            <w:r w:rsidR="00737696" w:rsidRPr="008C24A7">
              <w:rPr>
                <w:rFonts w:ascii="Arial" w:hAnsi="Arial"/>
                <w:caps w:val="0"/>
                <w:sz w:val="24"/>
                <w:szCs w:val="24"/>
              </w:rPr>
              <w:t>place</w:t>
            </w:r>
            <w:r w:rsidR="00A328DF" w:rsidRPr="008C24A7">
              <w:rPr>
                <w:rFonts w:ascii="Arial" w:hAnsi="Arial"/>
                <w:caps w:val="0"/>
                <w:sz w:val="24"/>
                <w:szCs w:val="24"/>
              </w:rPr>
              <w:t xml:space="preserve"> </w:t>
            </w:r>
            <w:r w:rsidR="00737696" w:rsidRPr="008C24A7">
              <w:rPr>
                <w:rFonts w:ascii="Arial" w:hAnsi="Arial"/>
                <w:caps w:val="0"/>
                <w:sz w:val="24"/>
                <w:szCs w:val="24"/>
              </w:rPr>
              <w:t>for complying with individual rights</w:t>
            </w:r>
            <w:r w:rsidR="00A328DF" w:rsidRPr="008C24A7">
              <w:rPr>
                <w:rFonts w:ascii="Arial" w:hAnsi="Arial"/>
                <w:caps w:val="0"/>
                <w:sz w:val="24"/>
                <w:szCs w:val="24"/>
              </w:rPr>
              <w:t xml:space="preserve"> </w:t>
            </w:r>
            <w:r w:rsidR="00D80881" w:rsidRPr="008C24A7">
              <w:rPr>
                <w:rFonts w:ascii="Arial" w:hAnsi="Arial"/>
                <w:caps w:val="0"/>
                <w:sz w:val="24"/>
                <w:szCs w:val="24"/>
              </w:rPr>
              <w:t xml:space="preserve">where required </w:t>
            </w:r>
            <w:r w:rsidR="00552B00" w:rsidRPr="008C24A7">
              <w:rPr>
                <w:rFonts w:ascii="Arial" w:hAnsi="Arial"/>
                <w:caps w:val="0"/>
                <w:sz w:val="24"/>
                <w:szCs w:val="24"/>
              </w:rPr>
              <w:t>i</w:t>
            </w:r>
            <w:r w:rsidR="00A04AA6" w:rsidRPr="008C24A7">
              <w:rPr>
                <w:rFonts w:ascii="Arial" w:hAnsi="Arial"/>
                <w:caps w:val="0"/>
                <w:sz w:val="24"/>
                <w:szCs w:val="24"/>
              </w:rPr>
              <w:t>.</w:t>
            </w:r>
            <w:r w:rsidR="00552B00" w:rsidRPr="008C24A7">
              <w:rPr>
                <w:rFonts w:ascii="Arial" w:hAnsi="Arial"/>
                <w:caps w:val="0"/>
                <w:sz w:val="24"/>
                <w:szCs w:val="24"/>
              </w:rPr>
              <w:t>e rectification</w:t>
            </w:r>
            <w:r w:rsidR="00D80881" w:rsidRPr="008C24A7">
              <w:rPr>
                <w:rFonts w:ascii="Arial" w:hAnsi="Arial"/>
                <w:caps w:val="0"/>
                <w:sz w:val="24"/>
                <w:szCs w:val="24"/>
              </w:rPr>
              <w:t>, objection and subject access requests</w:t>
            </w:r>
          </w:p>
          <w:p w14:paraId="2FF06D2D" w14:textId="77777777" w:rsidR="0099411B" w:rsidRPr="008C24A7" w:rsidRDefault="0099411B" w:rsidP="00962AE5">
            <w:pPr>
              <w:pStyle w:val="ListParagraph"/>
              <w:numPr>
                <w:ilvl w:val="0"/>
                <w:numId w:val="14"/>
              </w:numPr>
              <w:autoSpaceDN w:val="0"/>
              <w:spacing w:before="0" w:after="0" w:line="276" w:lineRule="auto"/>
              <w:ind w:left="426"/>
              <w:rPr>
                <w:rFonts w:ascii="Arial" w:hAnsi="Arial"/>
                <w:caps w:val="0"/>
                <w:sz w:val="24"/>
                <w:szCs w:val="24"/>
              </w:rPr>
            </w:pPr>
            <w:r w:rsidRPr="008C24A7">
              <w:rPr>
                <w:rFonts w:ascii="Arial" w:hAnsi="Arial"/>
                <w:caps w:val="0"/>
                <w:sz w:val="24"/>
                <w:szCs w:val="24"/>
              </w:rPr>
              <w:t>Demonstration of how to exercise individual rights in transparency documentation</w:t>
            </w:r>
          </w:p>
          <w:p w14:paraId="359924D3" w14:textId="77777777" w:rsidR="00F0711F" w:rsidRPr="00032CF3" w:rsidRDefault="00F0711F" w:rsidP="00962AE5">
            <w:pPr>
              <w:pStyle w:val="ListParagraph"/>
              <w:numPr>
                <w:ilvl w:val="0"/>
                <w:numId w:val="14"/>
              </w:numPr>
              <w:autoSpaceDN w:val="0"/>
              <w:spacing w:before="0" w:after="0" w:line="276" w:lineRule="auto"/>
              <w:ind w:left="426"/>
              <w:rPr>
                <w:rFonts w:ascii="Arial" w:hAnsi="Arial"/>
                <w:sz w:val="24"/>
                <w:szCs w:val="24"/>
              </w:rPr>
            </w:pPr>
            <w:r w:rsidRPr="008C24A7">
              <w:rPr>
                <w:rFonts w:ascii="Arial" w:hAnsi="Arial"/>
                <w:caps w:val="0"/>
                <w:sz w:val="24"/>
                <w:szCs w:val="24"/>
              </w:rPr>
              <w:t>Evidence of agreed approach to managing patient objections to share their data for individual care under the LHCR</w:t>
            </w:r>
          </w:p>
        </w:tc>
      </w:tr>
    </w:tbl>
    <w:p w14:paraId="13DA5B9B" w14:textId="77777777" w:rsidR="00156FDC" w:rsidRPr="00032CF3" w:rsidRDefault="00156FDC" w:rsidP="00156FDC">
      <w:pPr>
        <w:spacing w:before="0" w:after="0" w:line="276" w:lineRule="auto"/>
        <w:jc w:val="both"/>
        <w:rPr>
          <w:rFonts w:cs="Arial"/>
          <w:i/>
          <w:color w:val="FF0000"/>
        </w:rPr>
      </w:pPr>
    </w:p>
    <w:p w14:paraId="3AF90015" w14:textId="77777777" w:rsidR="0072370C" w:rsidRPr="00032CF3" w:rsidRDefault="0072370C" w:rsidP="0072370C">
      <w:pPr>
        <w:spacing w:before="0" w:after="0" w:line="276" w:lineRule="auto"/>
        <w:rPr>
          <w:rFonts w:cs="Arial"/>
          <w:i/>
          <w:color w:val="FF0000"/>
          <w:sz w:val="28"/>
        </w:rPr>
      </w:pPr>
    </w:p>
    <w:p w14:paraId="7D84F6FF" w14:textId="77777777" w:rsidR="00C111F3" w:rsidRPr="00032CF3" w:rsidRDefault="006A5DA1" w:rsidP="00156FDC">
      <w:pPr>
        <w:pStyle w:val="Heading2"/>
        <w:spacing w:before="0" w:after="0" w:line="276" w:lineRule="auto"/>
        <w:rPr>
          <w:rFonts w:cs="Arial"/>
        </w:rPr>
      </w:pPr>
      <w:bookmarkStart w:id="48" w:name="_Toc10223068"/>
      <w:r w:rsidRPr="00032CF3">
        <w:rPr>
          <w:rFonts w:cs="Arial"/>
        </w:rPr>
        <w:t>4.</w:t>
      </w:r>
      <w:r w:rsidR="00F66389" w:rsidRPr="00032CF3">
        <w:rPr>
          <w:rFonts w:cs="Arial"/>
        </w:rPr>
        <w:t>8</w:t>
      </w:r>
      <w:r w:rsidR="000E0016" w:rsidRPr="00032CF3">
        <w:rPr>
          <w:rFonts w:cs="Arial"/>
        </w:rPr>
        <w:t xml:space="preserve"> </w:t>
      </w:r>
      <w:r w:rsidR="00D80881" w:rsidRPr="00032CF3">
        <w:rPr>
          <w:rFonts w:cs="Arial"/>
        </w:rPr>
        <w:t xml:space="preserve">Patient Objection to Processing </w:t>
      </w:r>
      <w:r w:rsidR="00A04AA6" w:rsidRPr="00032CF3">
        <w:rPr>
          <w:rFonts w:cs="Arial"/>
        </w:rPr>
        <w:t>and N</w:t>
      </w:r>
      <w:r w:rsidR="00582B64" w:rsidRPr="00032CF3">
        <w:rPr>
          <w:rFonts w:cs="Arial"/>
        </w:rPr>
        <w:t xml:space="preserve">ational </w:t>
      </w:r>
      <w:r w:rsidR="00A04AA6" w:rsidRPr="00032CF3">
        <w:rPr>
          <w:rFonts w:cs="Arial"/>
        </w:rPr>
        <w:t>D</w:t>
      </w:r>
      <w:r w:rsidR="000402A1" w:rsidRPr="00032CF3">
        <w:rPr>
          <w:rFonts w:cs="Arial"/>
        </w:rPr>
        <w:t xml:space="preserve">ata </w:t>
      </w:r>
      <w:r w:rsidR="00A04AA6" w:rsidRPr="00032CF3">
        <w:rPr>
          <w:rFonts w:cs="Arial"/>
        </w:rPr>
        <w:t>O</w:t>
      </w:r>
      <w:r w:rsidR="00582B64" w:rsidRPr="00032CF3">
        <w:rPr>
          <w:rFonts w:cs="Arial"/>
        </w:rPr>
        <w:t>pt-</w:t>
      </w:r>
      <w:r w:rsidR="00A04AA6" w:rsidRPr="00032CF3">
        <w:rPr>
          <w:rFonts w:cs="Arial"/>
        </w:rPr>
        <w:t>O</w:t>
      </w:r>
      <w:r w:rsidR="00582B64" w:rsidRPr="00032CF3">
        <w:rPr>
          <w:rFonts w:cs="Arial"/>
        </w:rPr>
        <w:t>ut</w:t>
      </w:r>
      <w:bookmarkEnd w:id="48"/>
    </w:p>
    <w:p w14:paraId="71049EE0" w14:textId="77777777" w:rsidR="00902F02" w:rsidRPr="00032CF3" w:rsidRDefault="00902F02" w:rsidP="00902F02">
      <w:pPr>
        <w:pStyle w:val="Heading3"/>
        <w:rPr>
          <w:rFonts w:cs="Arial"/>
        </w:rPr>
      </w:pPr>
      <w:bookmarkStart w:id="49" w:name="_Toc10223069"/>
      <w:r w:rsidRPr="00032CF3">
        <w:rPr>
          <w:rFonts w:cs="Arial"/>
        </w:rPr>
        <w:t>4.8.</w:t>
      </w:r>
      <w:r>
        <w:rPr>
          <w:rFonts w:cs="Arial"/>
        </w:rPr>
        <w:t>1</w:t>
      </w:r>
      <w:r w:rsidRPr="00032CF3">
        <w:rPr>
          <w:rFonts w:cs="Arial"/>
        </w:rPr>
        <w:tab/>
      </w:r>
      <w:r w:rsidRPr="00032CF3">
        <w:rPr>
          <w:rFonts w:cs="Arial"/>
        </w:rPr>
        <w:tab/>
        <w:t>National data opt-out</w:t>
      </w:r>
      <w:bookmarkEnd w:id="49"/>
    </w:p>
    <w:p w14:paraId="594FFC85" w14:textId="77777777" w:rsidR="00902F02" w:rsidRPr="00032CF3" w:rsidRDefault="00902F02" w:rsidP="00902F02">
      <w:pPr>
        <w:spacing w:before="0" w:after="0" w:line="276" w:lineRule="auto"/>
        <w:jc w:val="both"/>
        <w:rPr>
          <w:rFonts w:cs="Arial"/>
          <w:szCs w:val="24"/>
        </w:rPr>
      </w:pPr>
      <w:r w:rsidRPr="00032CF3">
        <w:rPr>
          <w:rFonts w:cs="Arial"/>
          <w:szCs w:val="24"/>
        </w:rPr>
        <w:t xml:space="preserve">The national data opt-out is a service that allows people to opt out of their confidential patient information being used for research and planning and therefore does not apply to data used for individual care purposes (for definition see Appendix D). It is available at </w:t>
      </w:r>
      <w:hyperlink r:id="rId20" w:history="1">
        <w:r w:rsidRPr="00032CF3">
          <w:rPr>
            <w:rStyle w:val="Hyperlink"/>
            <w:rFonts w:cs="Arial"/>
            <w:szCs w:val="24"/>
          </w:rPr>
          <w:t>www.nhs.uk/your-nhs-data-matters</w:t>
        </w:r>
      </w:hyperlink>
      <w:r w:rsidRPr="00032CF3">
        <w:rPr>
          <w:rFonts w:cs="Arial"/>
          <w:szCs w:val="24"/>
        </w:rPr>
        <w:t xml:space="preserve">. </w:t>
      </w:r>
    </w:p>
    <w:p w14:paraId="6C9771F9" w14:textId="77777777" w:rsidR="00902F02" w:rsidRPr="00032CF3" w:rsidRDefault="00902F02" w:rsidP="00902F02">
      <w:pPr>
        <w:spacing w:before="0" w:after="0" w:line="276" w:lineRule="auto"/>
        <w:jc w:val="both"/>
        <w:rPr>
          <w:rFonts w:cs="Arial"/>
          <w:szCs w:val="24"/>
        </w:rPr>
      </w:pPr>
    </w:p>
    <w:p w14:paraId="08FC60BC" w14:textId="77777777" w:rsidR="00902F02" w:rsidRPr="00032CF3" w:rsidRDefault="00902F02" w:rsidP="00902F02">
      <w:pPr>
        <w:spacing w:before="0" w:after="0" w:line="276" w:lineRule="auto"/>
        <w:jc w:val="both"/>
        <w:rPr>
          <w:rFonts w:cs="Arial"/>
          <w:szCs w:val="24"/>
        </w:rPr>
      </w:pPr>
      <w:r w:rsidRPr="00032CF3">
        <w:rPr>
          <w:rFonts w:cs="Arial"/>
          <w:szCs w:val="24"/>
          <w:lang w:val="en-US"/>
        </w:rPr>
        <w:t>The national data opt-out programme has set out clear operational policy which must be applied by LHCRs.</w:t>
      </w:r>
    </w:p>
    <w:p w14:paraId="5517C8C3" w14:textId="77777777" w:rsidR="00902F02" w:rsidRPr="00032CF3" w:rsidRDefault="00902F02" w:rsidP="00902F02">
      <w:pPr>
        <w:numPr>
          <w:ilvl w:val="0"/>
          <w:numId w:val="25"/>
        </w:numPr>
        <w:spacing w:before="0" w:after="0" w:line="276" w:lineRule="auto"/>
        <w:jc w:val="both"/>
        <w:rPr>
          <w:rFonts w:cs="Arial"/>
          <w:szCs w:val="24"/>
        </w:rPr>
      </w:pPr>
      <w:r w:rsidRPr="00032CF3">
        <w:rPr>
          <w:rFonts w:cs="Arial"/>
          <w:szCs w:val="24"/>
          <w:lang w:val="en-US"/>
        </w:rPr>
        <w:t>The national data opt-out:</w:t>
      </w:r>
    </w:p>
    <w:p w14:paraId="0C7DD116" w14:textId="77777777" w:rsidR="00902F02" w:rsidRPr="00032CF3" w:rsidRDefault="00902F02" w:rsidP="00902F02">
      <w:pPr>
        <w:numPr>
          <w:ilvl w:val="1"/>
          <w:numId w:val="25"/>
        </w:numPr>
        <w:spacing w:before="0" w:after="0" w:line="276" w:lineRule="auto"/>
        <w:jc w:val="both"/>
        <w:rPr>
          <w:rFonts w:cs="Arial"/>
          <w:szCs w:val="24"/>
        </w:rPr>
      </w:pPr>
      <w:r w:rsidRPr="00032CF3">
        <w:rPr>
          <w:rFonts w:cs="Arial"/>
          <w:szCs w:val="24"/>
          <w:lang w:val="en-US"/>
        </w:rPr>
        <w:t>Does not apply to individual care.</w:t>
      </w:r>
    </w:p>
    <w:p w14:paraId="51CAF037" w14:textId="77777777" w:rsidR="00902F02" w:rsidRPr="00032CF3" w:rsidRDefault="00902F02" w:rsidP="00902F02">
      <w:pPr>
        <w:numPr>
          <w:ilvl w:val="1"/>
          <w:numId w:val="25"/>
        </w:numPr>
        <w:spacing w:before="0" w:after="0" w:line="276" w:lineRule="auto"/>
        <w:jc w:val="both"/>
        <w:rPr>
          <w:rFonts w:cs="Arial"/>
          <w:szCs w:val="24"/>
        </w:rPr>
      </w:pPr>
      <w:r w:rsidRPr="00032CF3">
        <w:rPr>
          <w:rFonts w:cs="Arial"/>
          <w:szCs w:val="24"/>
          <w:lang w:val="en-US"/>
        </w:rPr>
        <w:t>Does not apply to data which is anonymised in accordance with the ICO’s code</w:t>
      </w:r>
      <w:r>
        <w:rPr>
          <w:rFonts w:cs="Arial"/>
          <w:szCs w:val="24"/>
          <w:lang w:val="en-US"/>
        </w:rPr>
        <w:t xml:space="preserve"> (currently under revision to meet GDPR requirements)</w:t>
      </w:r>
      <w:r w:rsidRPr="00032CF3">
        <w:rPr>
          <w:rFonts w:cs="Arial"/>
          <w:szCs w:val="24"/>
          <w:lang w:val="en-US"/>
        </w:rPr>
        <w:t>.</w:t>
      </w:r>
    </w:p>
    <w:p w14:paraId="716E42CC" w14:textId="6E3C72DF" w:rsidR="00902F02" w:rsidRPr="00D96B95" w:rsidRDefault="00902F02" w:rsidP="00902F02">
      <w:pPr>
        <w:numPr>
          <w:ilvl w:val="1"/>
          <w:numId w:val="25"/>
        </w:numPr>
        <w:spacing w:before="0" w:after="0" w:line="276" w:lineRule="auto"/>
        <w:jc w:val="both"/>
        <w:rPr>
          <w:rFonts w:cs="Arial"/>
          <w:szCs w:val="24"/>
        </w:rPr>
      </w:pPr>
      <w:r w:rsidRPr="00032CF3">
        <w:rPr>
          <w:rFonts w:cs="Arial"/>
          <w:szCs w:val="24"/>
          <w:lang w:val="en-US"/>
        </w:rPr>
        <w:t>Does not apply where there is explicit consent.</w:t>
      </w:r>
    </w:p>
    <w:p w14:paraId="198D7B13" w14:textId="77777777" w:rsidR="00D96B95" w:rsidRPr="00032CF3" w:rsidRDefault="00D96B95" w:rsidP="00D96B95">
      <w:pPr>
        <w:numPr>
          <w:ilvl w:val="1"/>
          <w:numId w:val="25"/>
        </w:numPr>
        <w:spacing w:before="0" w:after="0" w:line="276" w:lineRule="auto"/>
        <w:jc w:val="both"/>
        <w:rPr>
          <w:rFonts w:cs="Arial"/>
          <w:szCs w:val="24"/>
        </w:rPr>
      </w:pPr>
      <w:r>
        <w:rPr>
          <w:rFonts w:cs="Arial"/>
          <w:szCs w:val="24"/>
          <w:lang w:val="en-US"/>
        </w:rPr>
        <w:t>Does not apply where there is a legal requirement for the information.</w:t>
      </w:r>
    </w:p>
    <w:p w14:paraId="2E057DA1" w14:textId="77777777" w:rsidR="00902F02" w:rsidRPr="00032CF3" w:rsidRDefault="00902F02" w:rsidP="00902F02">
      <w:pPr>
        <w:numPr>
          <w:ilvl w:val="1"/>
          <w:numId w:val="25"/>
        </w:numPr>
        <w:spacing w:before="0" w:after="0" w:line="276" w:lineRule="auto"/>
        <w:jc w:val="both"/>
        <w:rPr>
          <w:rFonts w:cs="Arial"/>
          <w:szCs w:val="24"/>
        </w:rPr>
      </w:pPr>
      <w:r w:rsidRPr="00032CF3">
        <w:rPr>
          <w:rFonts w:cs="Arial"/>
          <w:szCs w:val="24"/>
          <w:lang w:val="en-US"/>
        </w:rPr>
        <w:t>Does apply to approvals made by the Confidentiality Advisory Group (CAG) under the NHS Act 2006 section 251.</w:t>
      </w:r>
    </w:p>
    <w:p w14:paraId="23B14429" w14:textId="77777777" w:rsidR="00902F02" w:rsidRPr="00032CF3" w:rsidRDefault="00902F02" w:rsidP="00902F02">
      <w:pPr>
        <w:spacing w:before="0" w:after="0" w:line="276" w:lineRule="auto"/>
        <w:ind w:left="360"/>
        <w:jc w:val="both"/>
        <w:rPr>
          <w:rFonts w:cs="Arial"/>
          <w:szCs w:val="24"/>
        </w:rPr>
      </w:pPr>
    </w:p>
    <w:p w14:paraId="629094FC" w14:textId="0A00FD6A" w:rsidR="00902F02" w:rsidRPr="00032CF3" w:rsidRDefault="00902F02" w:rsidP="00902F02">
      <w:pPr>
        <w:spacing w:before="0" w:after="0" w:line="276" w:lineRule="auto"/>
        <w:jc w:val="both"/>
        <w:rPr>
          <w:rFonts w:cs="Arial"/>
          <w:szCs w:val="24"/>
        </w:rPr>
      </w:pPr>
      <w:r w:rsidRPr="00032CF3">
        <w:rPr>
          <w:rFonts w:cs="Arial"/>
          <w:szCs w:val="24"/>
          <w:lang w:val="en-US"/>
        </w:rPr>
        <w:t>As the current intention in LHCRs</w:t>
      </w:r>
      <w:r w:rsidR="00E354A8">
        <w:rPr>
          <w:rFonts w:cs="Arial"/>
          <w:szCs w:val="24"/>
          <w:lang w:val="en-US"/>
        </w:rPr>
        <w:t>,</w:t>
      </w:r>
      <w:r w:rsidR="00BC5E62">
        <w:rPr>
          <w:rFonts w:cs="Arial"/>
          <w:szCs w:val="24"/>
          <w:lang w:val="en-US"/>
        </w:rPr>
        <w:t xml:space="preserve"> for </w:t>
      </w:r>
      <w:r w:rsidR="00E354A8">
        <w:rPr>
          <w:rFonts w:cs="Arial"/>
          <w:szCs w:val="24"/>
          <w:lang w:val="en-US"/>
        </w:rPr>
        <w:t>purposes other than individual care,</w:t>
      </w:r>
      <w:r w:rsidRPr="00032CF3">
        <w:rPr>
          <w:rFonts w:cs="Arial"/>
          <w:szCs w:val="24"/>
          <w:lang w:val="en-US"/>
        </w:rPr>
        <w:t xml:space="preserve"> is to use data which is anonymised in accordance with the ICO’s code </w:t>
      </w:r>
      <w:r w:rsidRPr="00032CF3">
        <w:rPr>
          <w:rFonts w:cs="Arial"/>
          <w:szCs w:val="24"/>
          <w:lang w:val="mr-IN"/>
        </w:rPr>
        <w:t>–</w:t>
      </w:r>
      <w:r w:rsidRPr="00032CF3">
        <w:rPr>
          <w:rFonts w:cs="Arial"/>
          <w:szCs w:val="24"/>
          <w:lang w:val="en-US"/>
        </w:rPr>
        <w:t xml:space="preserve"> the national data opt-out would not apply.  However, if a LHCR decided to share confidential patient information, with section 251 </w:t>
      </w:r>
      <w:r w:rsidR="004B5050">
        <w:rPr>
          <w:rFonts w:cs="Arial"/>
          <w:szCs w:val="24"/>
          <w:lang w:val="en-US"/>
        </w:rPr>
        <w:t>support</w:t>
      </w:r>
      <w:r w:rsidRPr="00032CF3">
        <w:rPr>
          <w:rFonts w:cs="Arial"/>
          <w:szCs w:val="24"/>
          <w:lang w:val="en-US"/>
        </w:rPr>
        <w:t xml:space="preserve">, the national data opt-out would need to be applied.  The national data opt-out also needs to be applied if an organisation shares confidential patient information outside of the LHCR for research and planning e.g. a Trust which is part of the LHCR is involved separately in a research project. </w:t>
      </w:r>
      <w:r w:rsidRPr="00032CF3">
        <w:rPr>
          <w:rFonts w:cs="Arial"/>
          <w:szCs w:val="24"/>
        </w:rPr>
        <w:t xml:space="preserve">  All health and care organisations will be expected to comply with the national data opt-out</w:t>
      </w:r>
      <w:r w:rsidRPr="00032CF3">
        <w:rPr>
          <w:rFonts w:cs="Arial"/>
          <w:color w:val="FF0000"/>
          <w:szCs w:val="24"/>
        </w:rPr>
        <w:t xml:space="preserve"> </w:t>
      </w:r>
      <w:r w:rsidRPr="00032CF3">
        <w:rPr>
          <w:rFonts w:cs="Arial"/>
          <w:szCs w:val="24"/>
        </w:rPr>
        <w:t xml:space="preserve">by March 2020. </w:t>
      </w:r>
    </w:p>
    <w:p w14:paraId="5FB07B4F" w14:textId="77777777" w:rsidR="00902F02" w:rsidRPr="00032CF3" w:rsidRDefault="00902F02" w:rsidP="00902F02">
      <w:pPr>
        <w:spacing w:before="0" w:after="0" w:line="276" w:lineRule="auto"/>
        <w:jc w:val="both"/>
        <w:rPr>
          <w:rFonts w:cs="Arial"/>
          <w:szCs w:val="24"/>
        </w:rPr>
      </w:pPr>
    </w:p>
    <w:p w14:paraId="107777E5" w14:textId="77777777" w:rsidR="00902F02" w:rsidRPr="00032CF3" w:rsidRDefault="00902F02" w:rsidP="00902F02">
      <w:pPr>
        <w:spacing w:before="0" w:after="0" w:line="276" w:lineRule="auto"/>
        <w:jc w:val="both"/>
        <w:rPr>
          <w:rFonts w:cs="Arial"/>
          <w:color w:val="000000"/>
          <w:szCs w:val="24"/>
        </w:rPr>
      </w:pPr>
      <w:r w:rsidRPr="00032CF3">
        <w:rPr>
          <w:rFonts w:cs="Arial"/>
          <w:color w:val="000000"/>
          <w:szCs w:val="24"/>
        </w:rPr>
        <w:t xml:space="preserve">LHCRs will bring a range of benefits and will play an important role in making patients aware of these benefits.  Local resources can support patients in making their choice by explaining the local benefits e.g. by providing patients with local evidence, case studies or stories of how sharing improves care. </w:t>
      </w:r>
    </w:p>
    <w:p w14:paraId="523F38C6" w14:textId="77777777" w:rsidR="00902F02" w:rsidRPr="00032CF3" w:rsidRDefault="00902F02" w:rsidP="00902F02">
      <w:pPr>
        <w:spacing w:before="0" w:after="0" w:line="276" w:lineRule="auto"/>
        <w:jc w:val="both"/>
        <w:rPr>
          <w:rFonts w:cs="Arial"/>
          <w:szCs w:val="24"/>
        </w:rPr>
      </w:pPr>
    </w:p>
    <w:p w14:paraId="5E71E0B0" w14:textId="77777777" w:rsidR="00902F02" w:rsidRPr="00032CF3" w:rsidRDefault="00902F02" w:rsidP="00902F02">
      <w:pPr>
        <w:spacing w:before="0" w:after="0" w:line="276" w:lineRule="auto"/>
        <w:jc w:val="both"/>
        <w:rPr>
          <w:rFonts w:cs="Arial"/>
          <w:szCs w:val="24"/>
        </w:rPr>
      </w:pPr>
      <w:r w:rsidRPr="00032CF3">
        <w:rPr>
          <w:rFonts w:cs="Arial"/>
          <w:szCs w:val="24"/>
        </w:rPr>
        <w:t xml:space="preserve">It is still important though that the LHCR organisations include information about the national data opt-out in their transparency materials. </w:t>
      </w:r>
    </w:p>
    <w:p w14:paraId="51C5BB32" w14:textId="77777777" w:rsidR="00902F02" w:rsidRPr="00032CF3" w:rsidRDefault="00902F02" w:rsidP="00902F02">
      <w:pPr>
        <w:spacing w:before="0" w:after="0" w:line="276" w:lineRule="auto"/>
        <w:jc w:val="both"/>
        <w:rPr>
          <w:rFonts w:cs="Arial"/>
          <w:szCs w:val="24"/>
        </w:rPr>
      </w:pPr>
    </w:p>
    <w:p w14:paraId="29AB3F4A" w14:textId="77777777" w:rsidR="00902F02" w:rsidRDefault="00902F02" w:rsidP="00902F02">
      <w:pPr>
        <w:spacing w:before="0" w:after="0" w:line="276" w:lineRule="auto"/>
        <w:jc w:val="both"/>
        <w:rPr>
          <w:rFonts w:cs="Arial"/>
          <w:szCs w:val="24"/>
        </w:rPr>
      </w:pPr>
      <w:r w:rsidRPr="00032CF3">
        <w:rPr>
          <w:rFonts w:cs="Arial"/>
          <w:szCs w:val="24"/>
        </w:rPr>
        <w:t xml:space="preserve">Further information about the national data opt-out including detailed operational policy guidance and guidance on compliance is available at:  </w:t>
      </w:r>
      <w:hyperlink r:id="rId21" w:history="1">
        <w:r w:rsidRPr="00032CF3">
          <w:rPr>
            <w:rStyle w:val="Hyperlink"/>
            <w:rFonts w:cs="Arial"/>
            <w:szCs w:val="24"/>
          </w:rPr>
          <w:t>https://digital.nhs.uk/services/national-data-opt-out-programme</w:t>
        </w:r>
      </w:hyperlink>
      <w:r w:rsidRPr="00032CF3">
        <w:rPr>
          <w:rFonts w:cs="Arial"/>
          <w:szCs w:val="24"/>
        </w:rPr>
        <w:t xml:space="preserve">. </w:t>
      </w:r>
    </w:p>
    <w:p w14:paraId="29A7B05B" w14:textId="77777777" w:rsidR="0021042A" w:rsidRPr="00032CF3" w:rsidRDefault="0021042A" w:rsidP="00902F02">
      <w:pPr>
        <w:spacing w:before="0" w:after="0" w:line="276" w:lineRule="auto"/>
        <w:jc w:val="both"/>
        <w:rPr>
          <w:rFonts w:cs="Arial"/>
          <w:szCs w:val="24"/>
        </w:rPr>
      </w:pPr>
    </w:p>
    <w:p w14:paraId="21256EEC" w14:textId="77777777" w:rsidR="00A04AA6" w:rsidRPr="00032CF3" w:rsidRDefault="00FB0E7B" w:rsidP="00A04AA6">
      <w:pPr>
        <w:pStyle w:val="Heading3"/>
        <w:rPr>
          <w:rFonts w:cs="Arial"/>
        </w:rPr>
      </w:pPr>
      <w:bookmarkStart w:id="50" w:name="_Toc10223070"/>
      <w:r w:rsidRPr="00032CF3">
        <w:rPr>
          <w:rFonts w:cs="Arial"/>
        </w:rPr>
        <w:t>4.8.</w:t>
      </w:r>
      <w:r w:rsidR="0021042A">
        <w:rPr>
          <w:rFonts w:cs="Arial"/>
        </w:rPr>
        <w:t>2</w:t>
      </w:r>
      <w:r w:rsidRPr="00032CF3">
        <w:rPr>
          <w:rFonts w:cs="Arial"/>
        </w:rPr>
        <w:tab/>
      </w:r>
      <w:r w:rsidRPr="00032CF3">
        <w:rPr>
          <w:rFonts w:cs="Arial"/>
        </w:rPr>
        <w:tab/>
      </w:r>
      <w:r w:rsidR="00590C81" w:rsidRPr="00032CF3">
        <w:rPr>
          <w:rFonts w:cs="Arial"/>
        </w:rPr>
        <w:t>Patient Objection to Processing</w:t>
      </w:r>
      <w:bookmarkEnd w:id="50"/>
    </w:p>
    <w:p w14:paraId="341D21BC" w14:textId="77777777" w:rsidR="006220E0" w:rsidRDefault="006220E0" w:rsidP="006220E0">
      <w:pPr>
        <w:spacing w:before="0" w:after="0" w:line="276" w:lineRule="auto"/>
        <w:jc w:val="both"/>
        <w:rPr>
          <w:rFonts w:cs="Arial"/>
          <w:szCs w:val="24"/>
        </w:rPr>
      </w:pPr>
      <w:r>
        <w:rPr>
          <w:rFonts w:cs="Arial"/>
          <w:szCs w:val="24"/>
        </w:rPr>
        <w:t xml:space="preserve">Article 21 of GDPR gives individuals the right to object to the processing of their personal data and have their objection considered. </w:t>
      </w:r>
      <w:r w:rsidRPr="00032CF3">
        <w:rPr>
          <w:rFonts w:cs="Arial"/>
          <w:szCs w:val="24"/>
        </w:rPr>
        <w:t>The right to object is particularly relevant to certain health and care organisations where lawful processing is based on the ‘public interest’ provision. If someone objects to you processing his or her data, you will need to demonstrate ‘compelling, legitimate grounds for [either] the processing which overrides the interests, rights and freedoms of the data subject, or for the establishment, exercise or defence of legal claims’.</w:t>
      </w:r>
    </w:p>
    <w:p w14:paraId="5CA40682" w14:textId="77777777" w:rsidR="006220E0" w:rsidRDefault="006220E0" w:rsidP="006220E0">
      <w:pPr>
        <w:spacing w:before="0" w:after="0" w:line="276" w:lineRule="auto"/>
        <w:jc w:val="both"/>
        <w:rPr>
          <w:rFonts w:cs="Arial"/>
          <w:szCs w:val="24"/>
        </w:rPr>
      </w:pPr>
    </w:p>
    <w:p w14:paraId="1B9A8192" w14:textId="63068CB2" w:rsidR="009E1887" w:rsidRDefault="006220E0" w:rsidP="006220E0">
      <w:pPr>
        <w:spacing w:before="0" w:after="0" w:line="276" w:lineRule="auto"/>
        <w:jc w:val="both"/>
        <w:rPr>
          <w:rFonts w:cs="Arial"/>
          <w:szCs w:val="24"/>
        </w:rPr>
      </w:pPr>
      <w:r w:rsidRPr="00032CF3">
        <w:rPr>
          <w:rFonts w:cs="Arial"/>
          <w:szCs w:val="24"/>
        </w:rPr>
        <w:t xml:space="preserve">Organisations </w:t>
      </w:r>
      <w:r>
        <w:rPr>
          <w:rFonts w:cs="Arial"/>
          <w:szCs w:val="24"/>
        </w:rPr>
        <w:t xml:space="preserve">need to ensure that </w:t>
      </w:r>
      <w:r w:rsidRPr="00032CF3">
        <w:rPr>
          <w:rFonts w:cs="Arial"/>
          <w:szCs w:val="24"/>
        </w:rPr>
        <w:t>where objections have been received</w:t>
      </w:r>
      <w:r w:rsidR="009E1887">
        <w:rPr>
          <w:rFonts w:cs="Arial"/>
          <w:szCs w:val="24"/>
        </w:rPr>
        <w:t>,</w:t>
      </w:r>
      <w:r w:rsidRPr="00032CF3">
        <w:rPr>
          <w:rFonts w:cs="Arial"/>
          <w:szCs w:val="24"/>
        </w:rPr>
        <w:t xml:space="preserve"> procedures and processes are in place to consider </w:t>
      </w:r>
      <w:r w:rsidR="005A3136">
        <w:rPr>
          <w:rFonts w:cs="Arial"/>
          <w:szCs w:val="24"/>
        </w:rPr>
        <w:t>and respond where an individual</w:t>
      </w:r>
      <w:r w:rsidR="00BD5A32">
        <w:rPr>
          <w:rFonts w:cs="Arial"/>
          <w:szCs w:val="24"/>
        </w:rPr>
        <w:t xml:space="preserve"> </w:t>
      </w:r>
      <w:r>
        <w:rPr>
          <w:rFonts w:cs="Arial"/>
          <w:szCs w:val="24"/>
        </w:rPr>
        <w:t xml:space="preserve">objects. Patient objections under Article 21 </w:t>
      </w:r>
      <w:r w:rsidR="009E1887">
        <w:rPr>
          <w:rFonts w:cs="Arial"/>
          <w:szCs w:val="24"/>
        </w:rPr>
        <w:t>must be considered on a case-by-c</w:t>
      </w:r>
      <w:r>
        <w:rPr>
          <w:rFonts w:cs="Arial"/>
          <w:szCs w:val="24"/>
        </w:rPr>
        <w:t xml:space="preserve">ase basis.  </w:t>
      </w:r>
      <w:r w:rsidR="009E1887">
        <w:rPr>
          <w:rFonts w:cs="Arial"/>
          <w:szCs w:val="24"/>
        </w:rPr>
        <w:t xml:space="preserve">An individual must give specific reasons why they are objecting to the processing of their data based on their particular situation. A </w:t>
      </w:r>
      <w:r w:rsidR="009E1887" w:rsidRPr="00032CF3">
        <w:rPr>
          <w:rFonts w:cs="Arial"/>
          <w:szCs w:val="24"/>
        </w:rPr>
        <w:t>patient must have the risks of their decision clearly ex</w:t>
      </w:r>
      <w:r w:rsidR="009E1887">
        <w:rPr>
          <w:rFonts w:cs="Arial"/>
          <w:szCs w:val="24"/>
        </w:rPr>
        <w:t>plained to them and documented. When considering whether to uphold an objection, t</w:t>
      </w:r>
      <w:r>
        <w:rPr>
          <w:rFonts w:cs="Arial"/>
          <w:szCs w:val="24"/>
        </w:rPr>
        <w:t xml:space="preserve">he compelling grounds </w:t>
      </w:r>
      <w:r w:rsidR="009E1887">
        <w:rPr>
          <w:rFonts w:cs="Arial"/>
          <w:szCs w:val="24"/>
        </w:rPr>
        <w:t>need</w:t>
      </w:r>
      <w:r>
        <w:rPr>
          <w:rFonts w:cs="Arial"/>
          <w:szCs w:val="24"/>
        </w:rPr>
        <w:t xml:space="preserve"> to be balanced by the </w:t>
      </w:r>
      <w:r w:rsidR="009E1887">
        <w:rPr>
          <w:rFonts w:cs="Arial"/>
          <w:szCs w:val="24"/>
        </w:rPr>
        <w:t xml:space="preserve">individual's </w:t>
      </w:r>
      <w:r>
        <w:rPr>
          <w:rFonts w:cs="Arial"/>
          <w:szCs w:val="24"/>
        </w:rPr>
        <w:t>original grounds for the objection</w:t>
      </w:r>
      <w:r w:rsidR="009E1887">
        <w:rPr>
          <w:rFonts w:cs="Arial"/>
          <w:szCs w:val="24"/>
        </w:rPr>
        <w:t>,</w:t>
      </w:r>
      <w:r>
        <w:rPr>
          <w:rFonts w:cs="Arial"/>
          <w:szCs w:val="24"/>
        </w:rPr>
        <w:t xml:space="preserve"> which will differ from case by case. </w:t>
      </w:r>
      <w:r w:rsidR="009E1887">
        <w:rPr>
          <w:rFonts w:cs="Arial"/>
          <w:szCs w:val="24"/>
        </w:rPr>
        <w:t xml:space="preserve">Controllers will then need to consider whether their own requirements </w:t>
      </w:r>
      <w:r w:rsidR="00136AFB">
        <w:rPr>
          <w:rFonts w:cs="Arial"/>
          <w:szCs w:val="24"/>
        </w:rPr>
        <w:t>override</w:t>
      </w:r>
      <w:r w:rsidR="009E1887">
        <w:rPr>
          <w:rFonts w:cs="Arial"/>
          <w:szCs w:val="24"/>
        </w:rPr>
        <w:t xml:space="preserve"> that of the individual. </w:t>
      </w:r>
    </w:p>
    <w:p w14:paraId="11697770" w14:textId="77777777" w:rsidR="009E1887" w:rsidRDefault="009E1887" w:rsidP="006220E0">
      <w:pPr>
        <w:spacing w:before="0" w:after="0" w:line="276" w:lineRule="auto"/>
        <w:jc w:val="both"/>
        <w:rPr>
          <w:rFonts w:cs="Arial"/>
          <w:szCs w:val="24"/>
        </w:rPr>
      </w:pPr>
    </w:p>
    <w:p w14:paraId="1617BC69" w14:textId="734323E0" w:rsidR="00C54945" w:rsidRDefault="009E1887" w:rsidP="006220E0">
      <w:pPr>
        <w:spacing w:before="0" w:after="0" w:line="276" w:lineRule="auto"/>
        <w:jc w:val="both"/>
        <w:rPr>
          <w:rFonts w:cs="Arial"/>
          <w:szCs w:val="24"/>
        </w:rPr>
      </w:pPr>
      <w:r>
        <w:rPr>
          <w:rFonts w:cs="Arial"/>
          <w:szCs w:val="24"/>
        </w:rPr>
        <w:t>All LHCRs must en</w:t>
      </w:r>
      <w:r w:rsidR="00C54945">
        <w:rPr>
          <w:rFonts w:cs="Arial"/>
          <w:szCs w:val="24"/>
        </w:rPr>
        <w:t xml:space="preserve">sure procedures are in place in relation to </w:t>
      </w:r>
      <w:r w:rsidR="00672CE9">
        <w:rPr>
          <w:rFonts w:cs="Arial"/>
          <w:szCs w:val="24"/>
        </w:rPr>
        <w:t xml:space="preserve">patient </w:t>
      </w:r>
      <w:r w:rsidR="00C54945">
        <w:rPr>
          <w:rFonts w:cs="Arial"/>
          <w:szCs w:val="24"/>
        </w:rPr>
        <w:t xml:space="preserve">objections </w:t>
      </w:r>
      <w:r w:rsidR="00672CE9">
        <w:rPr>
          <w:rFonts w:cs="Arial"/>
          <w:szCs w:val="24"/>
        </w:rPr>
        <w:t xml:space="preserve">under GDPR </w:t>
      </w:r>
      <w:r w:rsidR="00C54945">
        <w:rPr>
          <w:rFonts w:cs="Arial"/>
          <w:szCs w:val="24"/>
        </w:rPr>
        <w:t xml:space="preserve">as a minimum.  Some </w:t>
      </w:r>
      <w:r w:rsidR="00C54945" w:rsidRPr="00947CCD">
        <w:rPr>
          <w:rFonts w:cs="Arial"/>
          <w:szCs w:val="24"/>
        </w:rPr>
        <w:t>LHCRs may go beyond this, following local discussions with health and care professionals and patients and implement a local policy where a patient is asked before their record is viewed</w:t>
      </w:r>
      <w:r w:rsidR="00947CCD">
        <w:rPr>
          <w:rFonts w:cs="Arial"/>
          <w:szCs w:val="24"/>
        </w:rPr>
        <w:t xml:space="preserve"> </w:t>
      </w:r>
      <w:r w:rsidR="00AD5208" w:rsidRPr="00947CCD">
        <w:rPr>
          <w:rFonts w:cs="Arial"/>
          <w:szCs w:val="24"/>
        </w:rPr>
        <w:t>(this should not be referred to as ‘patient consent’).</w:t>
      </w:r>
      <w:r w:rsidR="00C54945" w:rsidRPr="00947CCD">
        <w:rPr>
          <w:rFonts w:cs="Arial"/>
          <w:szCs w:val="24"/>
        </w:rPr>
        <w:t xml:space="preserve">  This may be in the short term and over time it</w:t>
      </w:r>
      <w:r w:rsidR="00C54945" w:rsidRPr="00C54945">
        <w:rPr>
          <w:rFonts w:cs="Arial"/>
          <w:szCs w:val="24"/>
        </w:rPr>
        <w:t xml:space="preserve"> may become routine and expected for the record to be accessed </w:t>
      </w:r>
      <w:r w:rsidR="00C54945" w:rsidRPr="00C54945">
        <w:rPr>
          <w:rFonts w:cs="Arial"/>
          <w:szCs w:val="24"/>
        </w:rPr>
        <w:lastRenderedPageBreak/>
        <w:t xml:space="preserve">by those caring for a patient and clinicians and patients may decide this additional step is not needed.  </w:t>
      </w:r>
    </w:p>
    <w:p w14:paraId="71C4504B" w14:textId="77777777" w:rsidR="00453417" w:rsidRPr="00947CCD" w:rsidRDefault="00453417" w:rsidP="006220E0">
      <w:pPr>
        <w:spacing w:before="0" w:after="0" w:line="276" w:lineRule="auto"/>
        <w:jc w:val="both"/>
        <w:rPr>
          <w:rFonts w:cs="Arial"/>
          <w:szCs w:val="24"/>
        </w:rPr>
      </w:pPr>
    </w:p>
    <w:p w14:paraId="4E5EF014" w14:textId="627D9DC2" w:rsidR="00453417" w:rsidRPr="00C52783" w:rsidRDefault="00453417" w:rsidP="00453417">
      <w:pPr>
        <w:spacing w:before="0" w:after="0" w:line="276" w:lineRule="auto"/>
        <w:jc w:val="both"/>
        <w:rPr>
          <w:rFonts w:cs="Arial"/>
          <w:color w:val="000000"/>
          <w:szCs w:val="24"/>
          <w:shd w:val="clear" w:color="auto" w:fill="FFFFFF"/>
        </w:rPr>
      </w:pPr>
      <w:r w:rsidRPr="00BC1CF3">
        <w:rPr>
          <w:rFonts w:cs="Arial"/>
          <w:szCs w:val="24"/>
        </w:rPr>
        <w:t>Although GDPR does not give a specific definition of compelling legitimate grounds</w:t>
      </w:r>
      <w:r w:rsidRPr="00D1321D">
        <w:rPr>
          <w:rFonts w:cs="Arial"/>
          <w:szCs w:val="24"/>
        </w:rPr>
        <w:t xml:space="preserve"> there is guidance from the ICO on </w:t>
      </w:r>
      <w:r w:rsidRPr="00807DA3">
        <w:rPr>
          <w:rFonts w:cs="Arial"/>
          <w:szCs w:val="24"/>
        </w:rPr>
        <w:t xml:space="preserve">legitimate </w:t>
      </w:r>
      <w:r w:rsidR="00C20EE8" w:rsidRPr="00807DA3">
        <w:rPr>
          <w:rFonts w:cs="Arial"/>
          <w:szCs w:val="24"/>
        </w:rPr>
        <w:t>i</w:t>
      </w:r>
      <w:r w:rsidRPr="00807DA3">
        <w:rPr>
          <w:rFonts w:cs="Arial"/>
          <w:szCs w:val="24"/>
        </w:rPr>
        <w:t xml:space="preserve">nterests for processing data which includes a Legitimate Interest Assessment (LIA). </w:t>
      </w:r>
      <w:r w:rsidRPr="00C52783">
        <w:rPr>
          <w:rFonts w:cs="Arial"/>
          <w:color w:val="000000"/>
          <w:szCs w:val="24"/>
          <w:shd w:val="clear" w:color="auto" w:fill="FFFFFF"/>
        </w:rPr>
        <w:t xml:space="preserve">The LIA encourages </w:t>
      </w:r>
      <w:r w:rsidR="00250FFB" w:rsidRPr="00C52783">
        <w:rPr>
          <w:rFonts w:cs="Arial"/>
          <w:color w:val="000000"/>
          <w:szCs w:val="24"/>
          <w:shd w:val="clear" w:color="auto" w:fill="FFFFFF"/>
        </w:rPr>
        <w:t>a</w:t>
      </w:r>
      <w:r w:rsidR="00DB048F" w:rsidRPr="00C52783">
        <w:rPr>
          <w:rFonts w:cs="Arial"/>
          <w:color w:val="000000"/>
          <w:szCs w:val="24"/>
          <w:shd w:val="clear" w:color="auto" w:fill="FFFFFF"/>
        </w:rPr>
        <w:t xml:space="preserve"> data controller </w:t>
      </w:r>
      <w:r w:rsidRPr="00C52783">
        <w:rPr>
          <w:rFonts w:cs="Arial"/>
          <w:color w:val="000000"/>
          <w:szCs w:val="24"/>
          <w:shd w:val="clear" w:color="auto" w:fill="FFFFFF"/>
        </w:rPr>
        <w:t xml:space="preserve">to ask the right questions about processing and objectively consider what the reasonable expectations of the </w:t>
      </w:r>
      <w:r w:rsidR="00250FFB" w:rsidRPr="00C52783">
        <w:rPr>
          <w:rFonts w:cs="Arial"/>
          <w:color w:val="000000"/>
          <w:szCs w:val="24"/>
          <w:shd w:val="clear" w:color="auto" w:fill="FFFFFF"/>
        </w:rPr>
        <w:t>individual</w:t>
      </w:r>
      <w:r w:rsidRPr="00C52783">
        <w:rPr>
          <w:rFonts w:cs="Arial"/>
          <w:color w:val="000000"/>
          <w:szCs w:val="24"/>
          <w:shd w:val="clear" w:color="auto" w:fill="FFFFFF"/>
        </w:rPr>
        <w:t xml:space="preserve"> </w:t>
      </w:r>
      <w:r w:rsidR="00250FFB" w:rsidRPr="00C52783">
        <w:rPr>
          <w:rFonts w:cs="Arial"/>
          <w:color w:val="000000"/>
          <w:szCs w:val="24"/>
          <w:shd w:val="clear" w:color="auto" w:fill="FFFFFF"/>
        </w:rPr>
        <w:t>is</w:t>
      </w:r>
      <w:r w:rsidRPr="00C52783">
        <w:rPr>
          <w:rFonts w:cs="Arial"/>
          <w:color w:val="000000"/>
          <w:szCs w:val="24"/>
          <w:shd w:val="clear" w:color="auto" w:fill="FFFFFF"/>
        </w:rPr>
        <w:t xml:space="preserve"> and any impact of the processing on them via a three part test.</w:t>
      </w:r>
      <w:r w:rsidRPr="00BC1CF3">
        <w:rPr>
          <w:rFonts w:cs="Arial"/>
          <w:szCs w:val="24"/>
        </w:rPr>
        <w:t xml:space="preserve"> The Balancing Test (part 3 of the LIA) covers the need to</w:t>
      </w:r>
      <w:r w:rsidRPr="00C52783">
        <w:rPr>
          <w:rFonts w:cs="Arial"/>
          <w:color w:val="000000"/>
          <w:szCs w:val="24"/>
          <w:shd w:val="clear" w:color="auto" w:fill="FFFFFF"/>
        </w:rPr>
        <w:t xml:space="preserve"> consider the interests and fundamental rights and freedoms of the</w:t>
      </w:r>
      <w:r w:rsidR="00250FFB" w:rsidRPr="00C52783">
        <w:rPr>
          <w:rFonts w:cs="Arial"/>
          <w:color w:val="000000"/>
          <w:szCs w:val="24"/>
          <w:shd w:val="clear" w:color="auto" w:fill="FFFFFF"/>
        </w:rPr>
        <w:t xml:space="preserve"> individual</w:t>
      </w:r>
      <w:r w:rsidR="00C20EE8" w:rsidRPr="00C52783">
        <w:rPr>
          <w:rFonts w:cs="Arial"/>
          <w:color w:val="000000"/>
          <w:szCs w:val="24"/>
          <w:shd w:val="clear" w:color="auto" w:fill="FFFFFF"/>
        </w:rPr>
        <w:t xml:space="preserve">.  The guidance can help aid decision making on </w:t>
      </w:r>
      <w:r w:rsidRPr="00C52783">
        <w:rPr>
          <w:rFonts w:cs="Arial"/>
          <w:color w:val="000000"/>
          <w:szCs w:val="24"/>
          <w:shd w:val="clear" w:color="auto" w:fill="FFFFFF"/>
        </w:rPr>
        <w:t>whether</w:t>
      </w:r>
      <w:r w:rsidR="00C20EE8" w:rsidRPr="00C52783">
        <w:rPr>
          <w:rFonts w:cs="Arial"/>
          <w:color w:val="000000"/>
          <w:szCs w:val="24"/>
          <w:shd w:val="clear" w:color="auto" w:fill="FFFFFF"/>
        </w:rPr>
        <w:t xml:space="preserve"> an organisation could continue to process the data subject</w:t>
      </w:r>
      <w:r w:rsidR="00250FFB" w:rsidRPr="00C52783">
        <w:rPr>
          <w:rFonts w:cs="Arial"/>
          <w:color w:val="000000"/>
          <w:szCs w:val="24"/>
          <w:shd w:val="clear" w:color="auto" w:fill="FFFFFF"/>
        </w:rPr>
        <w:t>’</w:t>
      </w:r>
      <w:r w:rsidR="00C20EE8" w:rsidRPr="00C52783">
        <w:rPr>
          <w:rFonts w:cs="Arial"/>
          <w:color w:val="000000"/>
          <w:szCs w:val="24"/>
          <w:shd w:val="clear" w:color="auto" w:fill="FFFFFF"/>
        </w:rPr>
        <w:t>s data on compelling and legitimate grounds.  The guidance looks at the</w:t>
      </w:r>
      <w:r w:rsidRPr="00C52783">
        <w:rPr>
          <w:rFonts w:cs="Arial"/>
          <w:color w:val="000000"/>
          <w:szCs w:val="24"/>
          <w:shd w:val="clear" w:color="auto" w:fill="FFFFFF"/>
        </w:rPr>
        <w:t xml:space="preserve"> nature of the data, reasonable expectations, the potential impact on the </w:t>
      </w:r>
      <w:r w:rsidR="00250FFB" w:rsidRPr="00C52783">
        <w:rPr>
          <w:rFonts w:cs="Arial"/>
          <w:color w:val="000000"/>
          <w:szCs w:val="24"/>
          <w:shd w:val="clear" w:color="auto" w:fill="FFFFFF"/>
        </w:rPr>
        <w:t>individual</w:t>
      </w:r>
      <w:r w:rsidRPr="00C52783">
        <w:rPr>
          <w:rFonts w:cs="Arial"/>
          <w:color w:val="000000"/>
          <w:szCs w:val="24"/>
          <w:shd w:val="clear" w:color="auto" w:fill="FFFFFF"/>
        </w:rPr>
        <w:t xml:space="preserve"> and any damage that</w:t>
      </w:r>
      <w:r w:rsidR="00250FFB" w:rsidRPr="00C52783">
        <w:rPr>
          <w:rFonts w:cs="Arial"/>
          <w:color w:val="000000"/>
          <w:szCs w:val="24"/>
          <w:shd w:val="clear" w:color="auto" w:fill="FFFFFF"/>
        </w:rPr>
        <w:t xml:space="preserve"> the</w:t>
      </w:r>
      <w:r w:rsidRPr="00C52783">
        <w:rPr>
          <w:rFonts w:cs="Arial"/>
          <w:color w:val="000000"/>
          <w:szCs w:val="24"/>
          <w:shd w:val="clear" w:color="auto" w:fill="FFFFFF"/>
        </w:rPr>
        <w:t xml:space="preserve"> processing might cause.</w:t>
      </w:r>
    </w:p>
    <w:p w14:paraId="05B64870" w14:textId="77777777" w:rsidR="00A73790" w:rsidRPr="00947CCD" w:rsidRDefault="00A73790" w:rsidP="006220E0">
      <w:pPr>
        <w:spacing w:before="0" w:after="0" w:line="276" w:lineRule="auto"/>
        <w:jc w:val="both"/>
        <w:rPr>
          <w:rFonts w:cs="Arial"/>
          <w:szCs w:val="24"/>
        </w:rPr>
      </w:pPr>
    </w:p>
    <w:p w14:paraId="52445332" w14:textId="77777777" w:rsidR="00C54945" w:rsidRDefault="00C54945" w:rsidP="006220E0">
      <w:pPr>
        <w:spacing w:before="0" w:after="0" w:line="276" w:lineRule="auto"/>
        <w:jc w:val="both"/>
        <w:rPr>
          <w:rFonts w:cs="Arial"/>
          <w:szCs w:val="24"/>
        </w:rPr>
      </w:pPr>
      <w:r w:rsidRPr="00947CCD">
        <w:rPr>
          <w:rFonts w:cs="Arial"/>
          <w:szCs w:val="24"/>
        </w:rPr>
        <w:t xml:space="preserve">Some </w:t>
      </w:r>
      <w:r w:rsidR="005A3136">
        <w:rPr>
          <w:rFonts w:cs="Arial"/>
          <w:szCs w:val="24"/>
        </w:rPr>
        <w:t>LHCR</w:t>
      </w:r>
      <w:r w:rsidRPr="00947CCD">
        <w:rPr>
          <w:rFonts w:cs="Arial"/>
          <w:szCs w:val="24"/>
        </w:rPr>
        <w:t xml:space="preserve"> areas have also provided mechanisms for patients to state a preference over whether they have a shared record e.g. by providing an opt-out form.  Again this is a local policy decision</w:t>
      </w:r>
      <w:r w:rsidR="005A3136">
        <w:rPr>
          <w:rFonts w:cs="Arial"/>
          <w:szCs w:val="24"/>
        </w:rPr>
        <w:t xml:space="preserve"> (See Appendix </w:t>
      </w:r>
      <w:r w:rsidR="008C24A7">
        <w:rPr>
          <w:rFonts w:cs="Arial"/>
          <w:szCs w:val="24"/>
        </w:rPr>
        <w:t>Q</w:t>
      </w:r>
      <w:r w:rsidR="005A3136">
        <w:rPr>
          <w:rFonts w:cs="Arial"/>
          <w:szCs w:val="24"/>
        </w:rPr>
        <w:t xml:space="preserve"> for some template text for LHCRs to utilise). </w:t>
      </w:r>
      <w:r w:rsidRPr="00947CCD">
        <w:rPr>
          <w:rFonts w:cs="Arial"/>
          <w:szCs w:val="24"/>
        </w:rPr>
        <w:t xml:space="preserve">It is important however that </w:t>
      </w:r>
      <w:r>
        <w:rPr>
          <w:rFonts w:cs="Arial"/>
          <w:szCs w:val="24"/>
        </w:rPr>
        <w:t>this is not confused with the right to object under GDPR where each objection needs to be considered and responded to on a case-by-case basis.   Communications with patients should be clear and distinguish between the right to object under GDPR and a patient preference around data sharing.</w:t>
      </w:r>
    </w:p>
    <w:p w14:paraId="6E9DA1D0" w14:textId="77777777" w:rsidR="00590C81" w:rsidRPr="00032CF3" w:rsidRDefault="00590C81" w:rsidP="006624EA">
      <w:pPr>
        <w:spacing w:before="0" w:after="0" w:line="276" w:lineRule="auto"/>
        <w:jc w:val="both"/>
        <w:rPr>
          <w:rFonts w:cs="Arial"/>
          <w:szCs w:val="24"/>
        </w:rPr>
      </w:pPr>
    </w:p>
    <w:p w14:paraId="3055AA57" w14:textId="77777777" w:rsidR="006624EA" w:rsidRPr="00032CF3" w:rsidRDefault="006624EA" w:rsidP="006624EA">
      <w:pPr>
        <w:spacing w:before="0" w:after="0" w:line="276" w:lineRule="auto"/>
        <w:rPr>
          <w:rFonts w:cs="Arial"/>
          <w:szCs w:val="24"/>
        </w:rPr>
      </w:pPr>
      <w:r w:rsidRPr="00032CF3">
        <w:rPr>
          <w:rFonts w:cs="Arial"/>
          <w:szCs w:val="24"/>
        </w:rPr>
        <w:t xml:space="preserve">For </w:t>
      </w:r>
      <w:r w:rsidR="00743B6B" w:rsidRPr="00032CF3">
        <w:rPr>
          <w:rFonts w:cs="Arial"/>
          <w:szCs w:val="24"/>
        </w:rPr>
        <w:t>t</w:t>
      </w:r>
      <w:r w:rsidR="009B0923" w:rsidRPr="00032CF3">
        <w:rPr>
          <w:rFonts w:cs="Arial"/>
          <w:szCs w:val="24"/>
        </w:rPr>
        <w:t>ools</w:t>
      </w:r>
      <w:r w:rsidRPr="00032CF3">
        <w:rPr>
          <w:rFonts w:cs="Arial"/>
          <w:szCs w:val="24"/>
        </w:rPr>
        <w:t xml:space="preserve"> and templates to support th</w:t>
      </w:r>
      <w:r w:rsidR="00741463" w:rsidRPr="00032CF3">
        <w:rPr>
          <w:rFonts w:cs="Arial"/>
          <w:szCs w:val="24"/>
        </w:rPr>
        <w:t>is section please see Appendix H</w:t>
      </w:r>
      <w:r w:rsidRPr="00032CF3">
        <w:rPr>
          <w:rFonts w:cs="Arial"/>
          <w:szCs w:val="24"/>
        </w:rPr>
        <w:t xml:space="preserve"> (4.8).</w:t>
      </w:r>
    </w:p>
    <w:p w14:paraId="61749628" w14:textId="34BD6326" w:rsidR="005A3136" w:rsidRDefault="005A3136" w:rsidP="00CC41F6">
      <w:pPr>
        <w:spacing w:before="0" w:after="0" w:line="276" w:lineRule="auto"/>
        <w:jc w:val="both"/>
        <w:rPr>
          <w:rFonts w:cs="Arial"/>
          <w:szCs w:val="24"/>
        </w:rPr>
      </w:pPr>
    </w:p>
    <w:p w14:paraId="3FEAC9E2" w14:textId="77777777" w:rsidR="00AC2D11" w:rsidRDefault="00AC2D11">
      <w:pPr>
        <w:spacing w:before="0" w:after="160" w:line="259" w:lineRule="auto"/>
        <w:rPr>
          <w:rFonts w:eastAsiaTheme="majorEastAsia" w:cs="Arial"/>
          <w:b/>
          <w:bCs w:val="0"/>
          <w:color w:val="7C2855"/>
          <w:sz w:val="28"/>
          <w:lang w:val="en-US" w:eastAsia="en-GB"/>
        </w:rPr>
      </w:pPr>
      <w:r>
        <w:rPr>
          <w:rFonts w:cs="Arial"/>
          <w:lang w:val="en-US" w:eastAsia="en-GB"/>
        </w:rPr>
        <w:br w:type="page"/>
      </w:r>
    </w:p>
    <w:p w14:paraId="50B17278" w14:textId="5B900A5F" w:rsidR="00B40153" w:rsidRPr="00032CF3" w:rsidRDefault="00130A80" w:rsidP="00B40153">
      <w:pPr>
        <w:pStyle w:val="Heading2"/>
        <w:rPr>
          <w:rFonts w:cs="Arial"/>
          <w:lang w:val="en-US" w:eastAsia="en-GB"/>
        </w:rPr>
      </w:pPr>
      <w:bookmarkStart w:id="51" w:name="_Toc10223071"/>
      <w:r w:rsidRPr="00032CF3">
        <w:rPr>
          <w:rFonts w:cs="Arial"/>
          <w:lang w:val="en-US" w:eastAsia="en-GB"/>
        </w:rPr>
        <w:t>4.9</w:t>
      </w:r>
      <w:r w:rsidR="00B40153" w:rsidRPr="00032CF3">
        <w:rPr>
          <w:rFonts w:cs="Arial"/>
          <w:lang w:val="en-US" w:eastAsia="en-GB"/>
        </w:rPr>
        <w:t xml:space="preserve"> Demonstrating Accountability</w:t>
      </w:r>
      <w:bookmarkEnd w:id="51"/>
    </w:p>
    <w:p w14:paraId="42813BB0" w14:textId="77777777" w:rsidR="00B40153" w:rsidRPr="00032CF3" w:rsidRDefault="00B40153" w:rsidP="00B40153">
      <w:pPr>
        <w:spacing w:before="0" w:after="0" w:line="276" w:lineRule="auto"/>
        <w:jc w:val="both"/>
        <w:rPr>
          <w:rFonts w:cs="Arial"/>
          <w:szCs w:val="24"/>
        </w:rPr>
      </w:pPr>
      <w:r w:rsidRPr="00032CF3">
        <w:rPr>
          <w:rFonts w:cs="Arial"/>
          <w:szCs w:val="24"/>
        </w:rPr>
        <w:t>The GDPR requires all controllers to demonstrate their compliance with the Regulation (Article 5 (2) which relates to accountability.</w:t>
      </w:r>
    </w:p>
    <w:p w14:paraId="72DB9D76" w14:textId="77777777" w:rsidR="00B40153" w:rsidRPr="00032CF3" w:rsidRDefault="00B40153" w:rsidP="00B40153">
      <w:pPr>
        <w:spacing w:before="0" w:after="0" w:line="276" w:lineRule="auto"/>
        <w:jc w:val="both"/>
        <w:rPr>
          <w:rFonts w:cs="Arial"/>
          <w:szCs w:val="24"/>
        </w:rPr>
      </w:pPr>
    </w:p>
    <w:p w14:paraId="6E349F7E" w14:textId="77777777" w:rsidR="00972E13" w:rsidRPr="00032CF3" w:rsidRDefault="00B40153" w:rsidP="00B40153">
      <w:pPr>
        <w:spacing w:before="0" w:after="0" w:line="276" w:lineRule="auto"/>
        <w:jc w:val="both"/>
        <w:rPr>
          <w:rFonts w:cs="Arial"/>
          <w:szCs w:val="24"/>
        </w:rPr>
      </w:pPr>
      <w:r w:rsidRPr="00032CF3">
        <w:rPr>
          <w:rFonts w:cs="Arial"/>
          <w:szCs w:val="24"/>
        </w:rPr>
        <w:t xml:space="preserve">The UK regulator, the ICO, has set out that organisations can demonstrate their compliance as outlined </w:t>
      </w:r>
      <w:r w:rsidR="0014785A" w:rsidRPr="00032CF3">
        <w:rPr>
          <w:rFonts w:cs="Arial"/>
          <w:szCs w:val="24"/>
        </w:rPr>
        <w:t>below.</w:t>
      </w:r>
      <w:r w:rsidR="003727AF">
        <w:rPr>
          <w:rFonts w:cs="Arial"/>
          <w:szCs w:val="24"/>
        </w:rPr>
        <w:t xml:space="preserve">  </w:t>
      </w:r>
      <w:r w:rsidR="00972E13" w:rsidRPr="00032CF3">
        <w:rPr>
          <w:rFonts w:cs="Arial"/>
          <w:szCs w:val="24"/>
        </w:rPr>
        <w:t xml:space="preserve">It is therefore imperative that all decision making is documented, who was involved and the </w:t>
      </w:r>
      <w:r w:rsidR="00354761" w:rsidRPr="00032CF3">
        <w:rPr>
          <w:rFonts w:cs="Arial"/>
          <w:szCs w:val="24"/>
        </w:rPr>
        <w:t>rationale/justification</w:t>
      </w:r>
      <w:r w:rsidR="00972E13" w:rsidRPr="00032CF3">
        <w:rPr>
          <w:rFonts w:cs="Arial"/>
          <w:szCs w:val="24"/>
        </w:rPr>
        <w:t xml:space="preserve"> behind the decision</w:t>
      </w:r>
    </w:p>
    <w:p w14:paraId="73D786B4" w14:textId="77777777" w:rsidR="00B40153" w:rsidRPr="00032CF3" w:rsidRDefault="00B40153" w:rsidP="00B40153">
      <w:pPr>
        <w:spacing w:before="0" w:after="0" w:line="276" w:lineRule="auto"/>
        <w:rPr>
          <w:rFonts w:cs="Arial"/>
          <w:szCs w:val="24"/>
          <w:u w:val="single"/>
        </w:rPr>
      </w:pPr>
    </w:p>
    <w:p w14:paraId="2E5790D1" w14:textId="77777777" w:rsidR="00B40153" w:rsidRPr="00032CF3" w:rsidRDefault="00582B64" w:rsidP="00130A80">
      <w:pPr>
        <w:pStyle w:val="Heading3"/>
        <w:rPr>
          <w:rFonts w:cs="Arial"/>
        </w:rPr>
      </w:pPr>
      <w:bookmarkStart w:id="52" w:name="_Toc10223072"/>
      <w:r w:rsidRPr="00032CF3">
        <w:rPr>
          <w:rFonts w:cs="Arial"/>
        </w:rPr>
        <w:t>4.</w:t>
      </w:r>
      <w:r w:rsidR="00130A80" w:rsidRPr="00032CF3">
        <w:rPr>
          <w:rFonts w:cs="Arial"/>
        </w:rPr>
        <w:t>9</w:t>
      </w:r>
      <w:r w:rsidRPr="00032CF3">
        <w:rPr>
          <w:rFonts w:cs="Arial"/>
        </w:rPr>
        <w:t>.1</w:t>
      </w:r>
      <w:r w:rsidRPr="00032CF3">
        <w:rPr>
          <w:rFonts w:cs="Arial"/>
        </w:rPr>
        <w:tab/>
      </w:r>
      <w:r w:rsidR="00B40153" w:rsidRPr="00032CF3">
        <w:rPr>
          <w:rFonts w:cs="Arial"/>
        </w:rPr>
        <w:t>Adopting principles by design and default</w:t>
      </w:r>
      <w:bookmarkEnd w:id="52"/>
    </w:p>
    <w:p w14:paraId="705B6B47" w14:textId="567EF61C" w:rsidR="00B40153" w:rsidRPr="00032CF3" w:rsidRDefault="00B40153" w:rsidP="00B40153">
      <w:pPr>
        <w:spacing w:before="0" w:after="0" w:line="276" w:lineRule="auto"/>
        <w:jc w:val="both"/>
        <w:rPr>
          <w:rFonts w:cs="Arial"/>
          <w:b/>
        </w:rPr>
      </w:pPr>
      <w:r w:rsidRPr="00032CF3">
        <w:rPr>
          <w:rFonts w:cs="Arial"/>
        </w:rPr>
        <w:t xml:space="preserve">Adopting the principles of </w:t>
      </w:r>
      <w:r w:rsidR="0014785A" w:rsidRPr="00032CF3">
        <w:rPr>
          <w:rFonts w:cs="Arial"/>
        </w:rPr>
        <w:t>data protection by design and data protection by default</w:t>
      </w:r>
      <w:r w:rsidRPr="00032CF3">
        <w:rPr>
          <w:rFonts w:cs="Arial"/>
        </w:rPr>
        <w:t xml:space="preserve"> is an important concept in regard to any project or new model of care. It is important that the consideration of new ways of working consider the impacts to privacy and confidentiality at the design stage. That way </w:t>
      </w:r>
      <w:r w:rsidR="003727AF">
        <w:rPr>
          <w:rFonts w:cs="Arial"/>
        </w:rPr>
        <w:t>information governance</w:t>
      </w:r>
      <w:r w:rsidR="003727AF" w:rsidRPr="00032CF3">
        <w:rPr>
          <w:rFonts w:cs="Arial"/>
        </w:rPr>
        <w:t xml:space="preserve"> </w:t>
      </w:r>
      <w:r w:rsidRPr="00032CF3">
        <w:rPr>
          <w:rFonts w:cs="Arial"/>
        </w:rPr>
        <w:t xml:space="preserve">is integrated into the policies, processes and systems from the beginning. It will assist in enabling data sharing for the benefit of individuals and the system, whilst minimising the risk to privacy. </w:t>
      </w:r>
      <w:r w:rsidR="003727AF">
        <w:rPr>
          <w:rFonts w:cs="Arial"/>
        </w:rPr>
        <w:t>Information governance</w:t>
      </w:r>
      <w:r w:rsidRPr="00032CF3">
        <w:rPr>
          <w:rFonts w:cs="Arial"/>
        </w:rPr>
        <w:t xml:space="preserve"> should be identified as part of any</w:t>
      </w:r>
      <w:r w:rsidR="005A0E26" w:rsidRPr="00032CF3">
        <w:rPr>
          <w:rFonts w:cs="Arial"/>
        </w:rPr>
        <w:t xml:space="preserve"> Project Initiation Documents and</w:t>
      </w:r>
      <w:r w:rsidRPr="00032CF3">
        <w:rPr>
          <w:rFonts w:cs="Arial"/>
        </w:rPr>
        <w:t xml:space="preserve"> should be treated in the same way as finance. assessing the essential criteria, key issues, resources etc.     </w:t>
      </w:r>
    </w:p>
    <w:p w14:paraId="7E2F7C53" w14:textId="77777777" w:rsidR="00B40153" w:rsidRPr="00032CF3" w:rsidRDefault="00B40153" w:rsidP="00B40153">
      <w:pPr>
        <w:spacing w:before="0" w:after="0" w:line="276" w:lineRule="auto"/>
        <w:jc w:val="both"/>
        <w:rPr>
          <w:rFonts w:cs="Arial"/>
        </w:rPr>
      </w:pPr>
    </w:p>
    <w:p w14:paraId="7EC16DF7" w14:textId="77777777" w:rsidR="006817C8" w:rsidRPr="00032CF3" w:rsidRDefault="00D27697" w:rsidP="006817C8">
      <w:pPr>
        <w:spacing w:before="0" w:after="0" w:line="276" w:lineRule="auto"/>
        <w:jc w:val="both"/>
        <w:rPr>
          <w:rFonts w:cs="Arial"/>
        </w:rPr>
      </w:pPr>
      <w:r>
        <w:rPr>
          <w:rFonts w:cs="Arial"/>
        </w:rPr>
        <w:t>A</w:t>
      </w:r>
      <w:r w:rsidR="00B40153" w:rsidRPr="00032CF3">
        <w:rPr>
          <w:rFonts w:cs="Arial"/>
        </w:rPr>
        <w:t xml:space="preserve"> data minimisation </w:t>
      </w:r>
      <w:r w:rsidR="002D5E3B">
        <w:rPr>
          <w:rFonts w:cs="Arial"/>
        </w:rPr>
        <w:t xml:space="preserve">approach </w:t>
      </w:r>
      <w:r w:rsidR="00BA1F88" w:rsidRPr="00032CF3">
        <w:rPr>
          <w:rFonts w:cs="Arial"/>
        </w:rPr>
        <w:t>should</w:t>
      </w:r>
      <w:r w:rsidR="00B40153" w:rsidRPr="00032CF3">
        <w:rPr>
          <w:rFonts w:cs="Arial"/>
        </w:rPr>
        <w:t xml:space="preserve"> be </w:t>
      </w:r>
      <w:r w:rsidR="005C6CFC" w:rsidRPr="009E1045">
        <w:rPr>
          <w:rFonts w:cs="Arial"/>
        </w:rPr>
        <w:t>adopted</w:t>
      </w:r>
      <w:r w:rsidR="002D5E3B">
        <w:rPr>
          <w:rFonts w:cs="Arial"/>
        </w:rPr>
        <w:t>.</w:t>
      </w:r>
      <w:r w:rsidR="00B40153" w:rsidRPr="00032CF3">
        <w:rPr>
          <w:rFonts w:cs="Arial"/>
        </w:rPr>
        <w:t xml:space="preserve">  Only where there is no alternative to its use should personal data be used for any purpose. </w:t>
      </w:r>
      <w:r w:rsidR="00003D63" w:rsidRPr="00032CF3">
        <w:rPr>
          <w:rFonts w:cs="Arial"/>
        </w:rPr>
        <w:t>P</w:t>
      </w:r>
      <w:r w:rsidR="00B40153" w:rsidRPr="00032CF3">
        <w:rPr>
          <w:rFonts w:cs="Arial"/>
        </w:rPr>
        <w:t xml:space="preserve">ersonal data </w:t>
      </w:r>
      <w:r w:rsidR="00354761" w:rsidRPr="00032CF3">
        <w:rPr>
          <w:rFonts w:cs="Arial"/>
        </w:rPr>
        <w:t>will</w:t>
      </w:r>
      <w:r w:rsidR="00B40153" w:rsidRPr="00032CF3">
        <w:rPr>
          <w:rFonts w:cs="Arial"/>
        </w:rPr>
        <w:t xml:space="preserve"> </w:t>
      </w:r>
      <w:r w:rsidR="003E09AD" w:rsidRPr="00032CF3">
        <w:rPr>
          <w:rFonts w:cs="Arial"/>
        </w:rPr>
        <w:t xml:space="preserve">always </w:t>
      </w:r>
      <w:r w:rsidR="00B40153" w:rsidRPr="00032CF3">
        <w:rPr>
          <w:rFonts w:cs="Arial"/>
        </w:rPr>
        <w:t xml:space="preserve">be required for </w:t>
      </w:r>
      <w:r w:rsidR="00B40153" w:rsidRPr="00032CF3">
        <w:rPr>
          <w:rFonts w:cs="Arial"/>
        </w:rPr>
        <w:lastRenderedPageBreak/>
        <w:t xml:space="preserve">the purpose of individual care; however, caution should be taken to ensure that a balance is sought between the requirement for adequate amounts of data </w:t>
      </w:r>
      <w:r w:rsidR="00624CC0" w:rsidRPr="00032CF3">
        <w:rPr>
          <w:rFonts w:cs="Arial"/>
        </w:rPr>
        <w:t xml:space="preserve">for the provision of care </w:t>
      </w:r>
      <w:r w:rsidR="00B40153" w:rsidRPr="00032CF3">
        <w:rPr>
          <w:rFonts w:cs="Arial"/>
        </w:rPr>
        <w:t>versus the processing of excessive information (taking i</w:t>
      </w:r>
      <w:r w:rsidR="00EF4E34">
        <w:rPr>
          <w:rFonts w:cs="Arial"/>
        </w:rPr>
        <w:t>nto account any clinical risk)</w:t>
      </w:r>
      <w:r w:rsidR="006817C8" w:rsidRPr="00032CF3">
        <w:rPr>
          <w:rFonts w:cs="Arial"/>
        </w:rPr>
        <w:t xml:space="preserve">. Clinical </w:t>
      </w:r>
      <w:r w:rsidR="00590C81" w:rsidRPr="00032CF3">
        <w:rPr>
          <w:rFonts w:cs="Arial"/>
        </w:rPr>
        <w:t xml:space="preserve">Safety Officers (CSO) </w:t>
      </w:r>
      <w:r w:rsidR="008C6FF9" w:rsidRPr="00032CF3">
        <w:rPr>
          <w:rFonts w:cs="Arial"/>
        </w:rPr>
        <w:t xml:space="preserve">as well as Caldicott Guardians </w:t>
      </w:r>
      <w:r w:rsidR="00955627" w:rsidRPr="00032CF3">
        <w:rPr>
          <w:rFonts w:cs="Arial"/>
        </w:rPr>
        <w:t xml:space="preserve">and Data Protection Officers </w:t>
      </w:r>
      <w:r w:rsidR="006817C8" w:rsidRPr="00032CF3">
        <w:rPr>
          <w:rFonts w:cs="Arial"/>
        </w:rPr>
        <w:t>must be involved with such decision making.</w:t>
      </w:r>
    </w:p>
    <w:p w14:paraId="5DA499A2" w14:textId="77777777" w:rsidR="00B40153" w:rsidRPr="00032CF3" w:rsidRDefault="00B40153" w:rsidP="00B40153">
      <w:pPr>
        <w:spacing w:before="0" w:after="0" w:line="276" w:lineRule="auto"/>
        <w:jc w:val="both"/>
        <w:rPr>
          <w:rFonts w:cs="Arial"/>
        </w:rPr>
      </w:pPr>
    </w:p>
    <w:p w14:paraId="0EA6D444" w14:textId="77777777" w:rsidR="0014785A" w:rsidRPr="00032CF3" w:rsidRDefault="0014785A" w:rsidP="0014785A">
      <w:pPr>
        <w:pStyle w:val="Heading3"/>
        <w:rPr>
          <w:rFonts w:cs="Arial"/>
        </w:rPr>
      </w:pPr>
      <w:bookmarkStart w:id="53" w:name="_Toc10223073"/>
      <w:r w:rsidRPr="00032CF3">
        <w:rPr>
          <w:rFonts w:cs="Arial"/>
        </w:rPr>
        <w:t>4.9.2</w:t>
      </w:r>
      <w:r w:rsidRPr="00032CF3">
        <w:rPr>
          <w:rFonts w:cs="Arial"/>
        </w:rPr>
        <w:tab/>
        <w:t>Data Protection Impact Assessments (DPIA)</w:t>
      </w:r>
      <w:bookmarkEnd w:id="53"/>
    </w:p>
    <w:p w14:paraId="3129E435" w14:textId="77777777" w:rsidR="00EF7086" w:rsidRPr="00032CF3" w:rsidRDefault="00B40153" w:rsidP="00E46641">
      <w:pPr>
        <w:spacing w:before="0" w:after="0" w:line="276" w:lineRule="auto"/>
        <w:jc w:val="both"/>
        <w:rPr>
          <w:rFonts w:cs="Arial"/>
        </w:rPr>
      </w:pPr>
      <w:r w:rsidRPr="00032CF3">
        <w:rPr>
          <w:rFonts w:cs="Arial"/>
        </w:rPr>
        <w:t>If personal data is to be used GDPR r.84 states a DPIA is required “</w:t>
      </w:r>
      <w:r w:rsidRPr="00032CF3">
        <w:rPr>
          <w:rFonts w:cs="Arial"/>
          <w:i/>
        </w:rPr>
        <w:t xml:space="preserve">where processing operations are likely to result in a </w:t>
      </w:r>
      <w:r w:rsidRPr="00032CF3">
        <w:rPr>
          <w:rFonts w:cs="Arial"/>
          <w:b/>
          <w:i/>
          <w:u w:val="single"/>
        </w:rPr>
        <w:t>high</w:t>
      </w:r>
      <w:r w:rsidRPr="00032CF3">
        <w:rPr>
          <w:rFonts w:cs="Arial"/>
          <w:i/>
        </w:rPr>
        <w:t xml:space="preserve"> risk to the rights and freedoms of natural persons</w:t>
      </w:r>
      <w:r w:rsidRPr="00032CF3">
        <w:rPr>
          <w:rFonts w:cs="Arial"/>
        </w:rPr>
        <w:t>”. Article 35 further sets out that one of the situations where a DPIA is requi</w:t>
      </w:r>
      <w:r w:rsidR="006817C8" w:rsidRPr="00032CF3">
        <w:rPr>
          <w:rFonts w:cs="Arial"/>
        </w:rPr>
        <w:t>red is where the processing</w:t>
      </w:r>
      <w:r w:rsidRPr="00032CF3">
        <w:rPr>
          <w:rFonts w:cs="Arial"/>
        </w:rPr>
        <w:t xml:space="preserve"> </w:t>
      </w:r>
      <w:r w:rsidR="006817C8" w:rsidRPr="00032CF3">
        <w:rPr>
          <w:rFonts w:cs="Arial"/>
        </w:rPr>
        <w:t>will involve large amounts of ‘</w:t>
      </w:r>
      <w:r w:rsidRPr="00032CF3">
        <w:rPr>
          <w:rFonts w:cs="Arial"/>
        </w:rPr>
        <w:t>special category data’</w:t>
      </w:r>
      <w:r w:rsidR="00E46641" w:rsidRPr="00032CF3">
        <w:rPr>
          <w:rFonts w:cs="Arial"/>
        </w:rPr>
        <w:t xml:space="preserve"> data’.</w:t>
      </w:r>
      <w:r w:rsidR="00E46641" w:rsidRPr="00032CF3">
        <w:rPr>
          <w:rStyle w:val="CommentReference"/>
          <w:rFonts w:eastAsiaTheme="minorHAnsi" w:cs="Arial"/>
          <w:bCs w:val="0"/>
          <w:sz w:val="18"/>
        </w:rPr>
        <w:t xml:space="preserve">  </w:t>
      </w:r>
      <w:r w:rsidR="00E46641" w:rsidRPr="00032CF3">
        <w:rPr>
          <w:rFonts w:cs="Arial"/>
        </w:rPr>
        <w:t>Any decision not to carry out a DPIA must be justified and documented.</w:t>
      </w:r>
    </w:p>
    <w:p w14:paraId="2F24A53D" w14:textId="77777777" w:rsidR="00EF7086" w:rsidRPr="00032CF3" w:rsidRDefault="00EF7086" w:rsidP="00E46641">
      <w:pPr>
        <w:spacing w:before="0" w:after="0" w:line="276" w:lineRule="auto"/>
        <w:jc w:val="both"/>
        <w:rPr>
          <w:rFonts w:cs="Arial"/>
        </w:rPr>
      </w:pPr>
    </w:p>
    <w:p w14:paraId="2BE3E2CA" w14:textId="77777777" w:rsidR="00B40153" w:rsidRPr="00032CF3" w:rsidRDefault="00B40153" w:rsidP="00B40153">
      <w:pPr>
        <w:spacing w:before="0" w:after="0" w:line="276" w:lineRule="auto"/>
        <w:jc w:val="both"/>
        <w:rPr>
          <w:rFonts w:cs="Arial"/>
          <w:color w:val="FF0000"/>
        </w:rPr>
      </w:pPr>
      <w:r w:rsidRPr="00032CF3">
        <w:rPr>
          <w:rFonts w:cs="Arial"/>
        </w:rPr>
        <w:t>You must have a mechanism for ensuring DPIAs are appropriately undertaken and acted on. This includes training for staff so they understand the need to complete a DPIA, along with the policies and processes they need to follow.</w:t>
      </w:r>
    </w:p>
    <w:p w14:paraId="608019C0" w14:textId="77777777" w:rsidR="00B40153" w:rsidRPr="00032CF3" w:rsidRDefault="00B40153" w:rsidP="00B40153">
      <w:pPr>
        <w:spacing w:before="0" w:after="0" w:line="276" w:lineRule="auto"/>
        <w:jc w:val="both"/>
        <w:rPr>
          <w:rFonts w:cs="Arial"/>
        </w:rPr>
      </w:pPr>
    </w:p>
    <w:p w14:paraId="2D68C7B2" w14:textId="77777777" w:rsidR="00B40153" w:rsidRPr="00032CF3" w:rsidRDefault="00B40153" w:rsidP="00B40153">
      <w:pPr>
        <w:spacing w:before="0" w:after="0" w:line="276" w:lineRule="auto"/>
        <w:jc w:val="both"/>
        <w:rPr>
          <w:rFonts w:cs="Arial"/>
        </w:rPr>
      </w:pPr>
      <w:r w:rsidRPr="00032CF3">
        <w:rPr>
          <w:rFonts w:cs="Arial"/>
        </w:rPr>
        <w:t xml:space="preserve">When completing the DPIA if you identify a high risk which you cannot mitigate </w:t>
      </w:r>
      <w:r w:rsidR="009B0923" w:rsidRPr="00032CF3">
        <w:rPr>
          <w:rFonts w:cs="Arial"/>
        </w:rPr>
        <w:t xml:space="preserve">then you MUST consult the ICO </w:t>
      </w:r>
      <w:r w:rsidRPr="00032CF3">
        <w:rPr>
          <w:rFonts w:cs="Arial"/>
        </w:rPr>
        <w:t xml:space="preserve">before starting the processing. </w:t>
      </w:r>
    </w:p>
    <w:p w14:paraId="27C1D58D" w14:textId="77777777" w:rsidR="00B40153" w:rsidRPr="00032CF3" w:rsidRDefault="00B40153" w:rsidP="00B40153">
      <w:pPr>
        <w:spacing w:before="0" w:after="0" w:line="276" w:lineRule="auto"/>
        <w:rPr>
          <w:rFonts w:cs="Arial"/>
        </w:rPr>
      </w:pPr>
    </w:p>
    <w:p w14:paraId="522A4C8D" w14:textId="77777777" w:rsidR="00477B52" w:rsidRDefault="009B0923" w:rsidP="005E2279">
      <w:pPr>
        <w:spacing w:before="0" w:after="0" w:line="276" w:lineRule="auto"/>
        <w:rPr>
          <w:rFonts w:cs="Arial"/>
        </w:rPr>
      </w:pPr>
      <w:r w:rsidRPr="00032CF3">
        <w:rPr>
          <w:rFonts w:cs="Arial"/>
        </w:rPr>
        <w:t xml:space="preserve">For </w:t>
      </w:r>
      <w:r w:rsidR="0094767B" w:rsidRPr="00032CF3">
        <w:rPr>
          <w:rFonts w:cs="Arial"/>
        </w:rPr>
        <w:t>t</w:t>
      </w:r>
      <w:r w:rsidRPr="00032CF3">
        <w:rPr>
          <w:rFonts w:cs="Arial"/>
        </w:rPr>
        <w:t xml:space="preserve">ools </w:t>
      </w:r>
      <w:r w:rsidR="006624EA" w:rsidRPr="00032CF3">
        <w:rPr>
          <w:rFonts w:cs="Arial"/>
        </w:rPr>
        <w:t xml:space="preserve">and templates to support this section please see Appendix </w:t>
      </w:r>
      <w:r w:rsidR="00741463" w:rsidRPr="00032CF3">
        <w:rPr>
          <w:rFonts w:cs="Arial"/>
        </w:rPr>
        <w:t>H</w:t>
      </w:r>
      <w:r w:rsidR="006624EA" w:rsidRPr="00032CF3">
        <w:rPr>
          <w:rFonts w:cs="Arial"/>
        </w:rPr>
        <w:t xml:space="preserve"> (4.9).</w:t>
      </w:r>
    </w:p>
    <w:p w14:paraId="3BC79E41" w14:textId="2D4FC81B" w:rsidR="006624EA" w:rsidRDefault="006624EA" w:rsidP="00B40153">
      <w:pPr>
        <w:spacing w:before="0" w:after="0" w:line="276" w:lineRule="auto"/>
        <w:rPr>
          <w:rFonts w:cs="Arial"/>
        </w:rPr>
      </w:pPr>
    </w:p>
    <w:p w14:paraId="68BC87F3" w14:textId="23B874CF" w:rsidR="00AC2D11" w:rsidRDefault="00AC2D11" w:rsidP="00B40153">
      <w:pPr>
        <w:spacing w:before="0" w:after="0" w:line="276" w:lineRule="auto"/>
        <w:rPr>
          <w:rFonts w:cs="Arial"/>
        </w:rPr>
      </w:pPr>
    </w:p>
    <w:p w14:paraId="7665E284" w14:textId="3DAFE06F" w:rsidR="00AC2D11" w:rsidRDefault="00AC2D11" w:rsidP="00B40153">
      <w:pPr>
        <w:spacing w:before="0" w:after="0" w:line="276" w:lineRule="auto"/>
        <w:rPr>
          <w:rFonts w:cs="Arial"/>
        </w:rPr>
      </w:pPr>
    </w:p>
    <w:p w14:paraId="1F41CD2E" w14:textId="3A6922CC" w:rsidR="00AC2D11" w:rsidRDefault="00AC2D11" w:rsidP="00B40153">
      <w:pPr>
        <w:spacing w:before="0" w:after="0" w:line="276" w:lineRule="auto"/>
        <w:rPr>
          <w:rFonts w:cs="Arial"/>
        </w:rPr>
      </w:pPr>
    </w:p>
    <w:p w14:paraId="6E68B1B7" w14:textId="4176AFDE" w:rsidR="00AC2D11" w:rsidRDefault="00AC2D11" w:rsidP="00B40153">
      <w:pPr>
        <w:spacing w:before="0" w:after="0" w:line="276" w:lineRule="auto"/>
        <w:rPr>
          <w:rFonts w:cs="Arial"/>
        </w:rPr>
      </w:pPr>
    </w:p>
    <w:p w14:paraId="0145B131" w14:textId="77777777" w:rsidR="00AC2D11" w:rsidRPr="00032CF3" w:rsidRDefault="00AC2D11" w:rsidP="00B40153">
      <w:pPr>
        <w:spacing w:before="0" w:after="0" w:line="276" w:lineRule="auto"/>
        <w:rPr>
          <w:rFonts w:cs="Arial"/>
        </w:rPr>
      </w:pPr>
    </w:p>
    <w:tbl>
      <w:tblPr>
        <w:tblStyle w:val="TableElegant"/>
        <w:tblW w:w="0" w:type="auto"/>
        <w:shd w:val="clear" w:color="auto" w:fill="F2F2F2" w:themeFill="background1" w:themeFillShade="F2"/>
        <w:tblLook w:val="04A0" w:firstRow="1" w:lastRow="0" w:firstColumn="1" w:lastColumn="0" w:noHBand="0" w:noVBand="1"/>
      </w:tblPr>
      <w:tblGrid>
        <w:gridCol w:w="9734"/>
      </w:tblGrid>
      <w:tr w:rsidR="00B40153" w:rsidRPr="001B37E5" w14:paraId="0F01EBCD" w14:textId="77777777" w:rsidTr="42490368">
        <w:trPr>
          <w:cnfStyle w:val="100000000000" w:firstRow="1" w:lastRow="0" w:firstColumn="0" w:lastColumn="0" w:oddVBand="0" w:evenVBand="0" w:oddHBand="0" w:evenHBand="0" w:firstRowFirstColumn="0" w:firstRowLastColumn="0" w:lastRowFirstColumn="0" w:lastRowLastColumn="0"/>
        </w:trPr>
        <w:tc>
          <w:tcPr>
            <w:tcW w:w="9770" w:type="dxa"/>
            <w:shd w:val="clear" w:color="auto" w:fill="F2F2F2" w:themeFill="background1" w:themeFillShade="F2"/>
          </w:tcPr>
          <w:p w14:paraId="740F0611" w14:textId="77777777" w:rsidR="00B40153" w:rsidRPr="001B37E5" w:rsidRDefault="00B40153" w:rsidP="00AA6B2A">
            <w:pPr>
              <w:spacing w:before="0" w:after="0" w:line="276" w:lineRule="auto"/>
              <w:rPr>
                <w:rFonts w:cs="Arial"/>
                <w:b/>
                <w:caps w:val="0"/>
              </w:rPr>
            </w:pPr>
            <w:r w:rsidRPr="001B37E5">
              <w:rPr>
                <w:rFonts w:cs="Arial"/>
                <w:b/>
                <w:caps w:val="0"/>
              </w:rPr>
              <w:t>Assurance Checkpoint</w:t>
            </w:r>
          </w:p>
          <w:p w14:paraId="7F68ADF0" w14:textId="77777777" w:rsidR="00B40153" w:rsidRPr="001B37E5" w:rsidRDefault="00B40153"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1B37E5">
              <w:rPr>
                <w:rFonts w:ascii="Arial" w:hAnsi="Arial"/>
                <w:caps w:val="0"/>
                <w:sz w:val="24"/>
                <w:szCs w:val="24"/>
              </w:rPr>
              <w:t xml:space="preserve">Completed and approved DPIA </w:t>
            </w:r>
            <w:r w:rsidR="00940891" w:rsidRPr="001B37E5">
              <w:rPr>
                <w:rFonts w:ascii="Arial" w:hAnsi="Arial"/>
                <w:caps w:val="0"/>
                <w:sz w:val="24"/>
                <w:szCs w:val="24"/>
              </w:rPr>
              <w:t>for each data sharing purpose</w:t>
            </w:r>
          </w:p>
          <w:p w14:paraId="6DE5C273" w14:textId="77777777" w:rsidR="00B40153" w:rsidRPr="001B37E5" w:rsidRDefault="00B40153"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szCs w:val="24"/>
              </w:rPr>
            </w:pPr>
            <w:r w:rsidRPr="001B37E5">
              <w:rPr>
                <w:rFonts w:ascii="Arial" w:hAnsi="Arial"/>
                <w:caps w:val="0"/>
                <w:sz w:val="24"/>
                <w:szCs w:val="24"/>
              </w:rPr>
              <w:t xml:space="preserve">Evidence of </w:t>
            </w:r>
            <w:r w:rsidR="003727AF" w:rsidRPr="001B37E5">
              <w:rPr>
                <w:rFonts w:ascii="Arial" w:hAnsi="Arial"/>
                <w:caps w:val="0"/>
                <w:sz w:val="24"/>
                <w:szCs w:val="24"/>
              </w:rPr>
              <w:t xml:space="preserve">information governance </w:t>
            </w:r>
            <w:r w:rsidRPr="001B37E5">
              <w:rPr>
                <w:rFonts w:ascii="Arial" w:hAnsi="Arial"/>
                <w:caps w:val="0"/>
                <w:sz w:val="24"/>
                <w:szCs w:val="24"/>
              </w:rPr>
              <w:t>considerations in Project Initiation Documentation</w:t>
            </w:r>
          </w:p>
          <w:p w14:paraId="2261B622" w14:textId="77777777" w:rsidR="00B40153" w:rsidRPr="001B37E5" w:rsidRDefault="00B40153"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color w:val="000000" w:themeColor="text1"/>
                <w:sz w:val="24"/>
                <w:szCs w:val="24"/>
              </w:rPr>
            </w:pPr>
            <w:r w:rsidRPr="001B37E5">
              <w:rPr>
                <w:rFonts w:ascii="Arial" w:hAnsi="Arial"/>
                <w:caps w:val="0"/>
                <w:sz w:val="24"/>
                <w:szCs w:val="24"/>
              </w:rPr>
              <w:t>Evidence of DPIA risks incorporated into (organisational/LHCR) risk register incl</w:t>
            </w:r>
            <w:r w:rsidR="005A0E26" w:rsidRPr="001B37E5">
              <w:rPr>
                <w:rFonts w:ascii="Arial" w:hAnsi="Arial"/>
                <w:caps w:val="0"/>
                <w:sz w:val="24"/>
                <w:szCs w:val="24"/>
              </w:rPr>
              <w:t>uding mitigation and management</w:t>
            </w:r>
          </w:p>
          <w:p w14:paraId="1994EFAD" w14:textId="77777777" w:rsidR="00F0711F" w:rsidRPr="001B37E5" w:rsidRDefault="00F0711F"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rPr>
            </w:pPr>
            <w:r w:rsidRPr="001B37E5">
              <w:rPr>
                <w:rFonts w:ascii="Arial" w:hAnsi="Arial"/>
                <w:caps w:val="0"/>
                <w:color w:val="000000" w:themeColor="text1"/>
                <w:sz w:val="24"/>
              </w:rPr>
              <w:t>Evidence of consultation with the public on the DPIA</w:t>
            </w:r>
          </w:p>
          <w:p w14:paraId="01BB719B" w14:textId="77777777" w:rsidR="00C936EB" w:rsidRPr="001B37E5" w:rsidRDefault="00C936EB" w:rsidP="00962AE5">
            <w:pPr>
              <w:pStyle w:val="ListParagraph"/>
              <w:numPr>
                <w:ilvl w:val="0"/>
                <w:numId w:val="14"/>
              </w:numPr>
              <w:tabs>
                <w:tab w:val="clear" w:pos="4890"/>
              </w:tabs>
              <w:autoSpaceDN w:val="0"/>
              <w:spacing w:before="0" w:after="0" w:line="276" w:lineRule="auto"/>
              <w:ind w:left="426"/>
              <w:contextualSpacing w:val="0"/>
              <w:jc w:val="left"/>
              <w:rPr>
                <w:rFonts w:ascii="Arial" w:hAnsi="Arial"/>
                <w:caps w:val="0"/>
                <w:sz w:val="24"/>
              </w:rPr>
            </w:pPr>
            <w:r w:rsidRPr="001B37E5">
              <w:rPr>
                <w:rFonts w:ascii="Arial" w:hAnsi="Arial"/>
                <w:caps w:val="0"/>
                <w:color w:val="000000" w:themeColor="text1"/>
                <w:sz w:val="24"/>
              </w:rPr>
              <w:t xml:space="preserve">Evidence that unmitigated </w:t>
            </w:r>
            <w:r w:rsidR="00B30BC1" w:rsidRPr="001B37E5">
              <w:rPr>
                <w:rFonts w:ascii="Arial" w:hAnsi="Arial"/>
                <w:caps w:val="0"/>
                <w:color w:val="000000" w:themeColor="text1"/>
                <w:sz w:val="24"/>
              </w:rPr>
              <w:t xml:space="preserve">high </w:t>
            </w:r>
            <w:r w:rsidRPr="001B37E5">
              <w:rPr>
                <w:rFonts w:ascii="Arial" w:hAnsi="Arial"/>
                <w:caps w:val="0"/>
                <w:color w:val="000000" w:themeColor="text1"/>
                <w:sz w:val="24"/>
              </w:rPr>
              <w:t xml:space="preserve">risks are escalated to the DPO and the ICO </w:t>
            </w:r>
            <w:r w:rsidR="00B30BC1" w:rsidRPr="001B37E5">
              <w:rPr>
                <w:rFonts w:ascii="Arial" w:hAnsi="Arial"/>
                <w:caps w:val="0"/>
                <w:color w:val="000000" w:themeColor="text1"/>
                <w:sz w:val="24"/>
              </w:rPr>
              <w:t>is consulted</w:t>
            </w:r>
          </w:p>
        </w:tc>
      </w:tr>
    </w:tbl>
    <w:p w14:paraId="57BFDC8F" w14:textId="77777777" w:rsidR="00B40153" w:rsidRPr="00032CF3" w:rsidRDefault="00B40153" w:rsidP="00B40153">
      <w:pPr>
        <w:spacing w:before="0" w:after="0" w:line="276" w:lineRule="auto"/>
        <w:rPr>
          <w:rFonts w:cs="Arial"/>
          <w:sz w:val="22"/>
          <w:szCs w:val="24"/>
          <w:u w:val="single"/>
        </w:rPr>
      </w:pPr>
    </w:p>
    <w:p w14:paraId="5B2CAA59" w14:textId="77777777" w:rsidR="00AC2D11" w:rsidRDefault="00AC2D11">
      <w:pPr>
        <w:spacing w:before="0" w:after="160" w:line="259" w:lineRule="auto"/>
        <w:rPr>
          <w:rFonts w:eastAsiaTheme="majorEastAsia" w:cs="Arial"/>
          <w:b/>
          <w:bCs w:val="0"/>
          <w:color w:val="005EB8"/>
          <w:sz w:val="32"/>
          <w:szCs w:val="32"/>
        </w:rPr>
      </w:pPr>
      <w:r>
        <w:rPr>
          <w:rFonts w:cs="Arial"/>
        </w:rPr>
        <w:br w:type="page"/>
      </w:r>
    </w:p>
    <w:p w14:paraId="3CA2F945" w14:textId="147B59B1" w:rsidR="00B6685D" w:rsidRPr="00032CF3" w:rsidRDefault="00580CCC" w:rsidP="00B914EE">
      <w:pPr>
        <w:pStyle w:val="Heading1"/>
        <w:numPr>
          <w:ilvl w:val="0"/>
          <w:numId w:val="35"/>
        </w:numPr>
        <w:ind w:left="567" w:hanging="567"/>
        <w:rPr>
          <w:rFonts w:cs="Arial"/>
        </w:rPr>
      </w:pPr>
      <w:bookmarkStart w:id="54" w:name="_Toc10223074"/>
      <w:r w:rsidRPr="00032CF3">
        <w:rPr>
          <w:rFonts w:cs="Arial"/>
        </w:rPr>
        <w:t xml:space="preserve">Journey 1 </w:t>
      </w:r>
      <w:r w:rsidR="0084368E" w:rsidRPr="00032CF3">
        <w:rPr>
          <w:rFonts w:cs="Arial"/>
        </w:rPr>
        <w:t>–</w:t>
      </w:r>
      <w:r w:rsidR="00EB1A49" w:rsidRPr="00032CF3">
        <w:rPr>
          <w:rFonts w:cs="Arial"/>
        </w:rPr>
        <w:t xml:space="preserve"> </w:t>
      </w:r>
      <w:r w:rsidR="00630FFD" w:rsidRPr="00032CF3">
        <w:rPr>
          <w:rFonts w:cs="Arial"/>
        </w:rPr>
        <w:t>Individual</w:t>
      </w:r>
      <w:r w:rsidR="0084368E" w:rsidRPr="00032CF3">
        <w:rPr>
          <w:rFonts w:cs="Arial"/>
        </w:rPr>
        <w:t xml:space="preserve"> car</w:t>
      </w:r>
      <w:r w:rsidR="00B6685D" w:rsidRPr="00032CF3">
        <w:rPr>
          <w:rFonts w:cs="Arial"/>
        </w:rPr>
        <w:t>e</w:t>
      </w:r>
      <w:r w:rsidR="00251121">
        <w:rPr>
          <w:rFonts w:cs="Arial"/>
        </w:rPr>
        <w:t xml:space="preserve"> within a LHCR (between health and social care bodies)</w:t>
      </w:r>
      <w:bookmarkEnd w:id="54"/>
    </w:p>
    <w:p w14:paraId="5341A681" w14:textId="77777777" w:rsidR="00AA0AFD" w:rsidRPr="00032CF3" w:rsidRDefault="00D412F0" w:rsidP="00CD26DB">
      <w:pPr>
        <w:rPr>
          <w:rFonts w:cs="Arial"/>
          <w:b/>
        </w:rPr>
      </w:pPr>
      <w:r w:rsidRPr="00032CF3">
        <w:rPr>
          <w:rFonts w:cs="Arial"/>
          <w:b/>
        </w:rPr>
        <w:t>Introduction</w:t>
      </w:r>
    </w:p>
    <w:p w14:paraId="189D85EC" w14:textId="77777777" w:rsidR="00630FFD" w:rsidRPr="00032CF3" w:rsidRDefault="00630FFD" w:rsidP="005A3136">
      <w:pPr>
        <w:spacing w:before="0" w:after="0" w:line="276" w:lineRule="auto"/>
        <w:jc w:val="both"/>
        <w:rPr>
          <w:rFonts w:cs="Arial"/>
          <w:szCs w:val="24"/>
        </w:rPr>
      </w:pPr>
      <w:r w:rsidRPr="00032CF3">
        <w:rPr>
          <w:rFonts w:cs="Arial"/>
          <w:szCs w:val="24"/>
        </w:rPr>
        <w:t xml:space="preserve">For </w:t>
      </w:r>
      <w:r w:rsidR="004B3C2D" w:rsidRPr="00032CF3">
        <w:rPr>
          <w:rFonts w:cs="Arial"/>
          <w:szCs w:val="24"/>
        </w:rPr>
        <w:t>individual</w:t>
      </w:r>
      <w:r w:rsidRPr="00032CF3">
        <w:rPr>
          <w:rFonts w:cs="Arial"/>
          <w:szCs w:val="24"/>
        </w:rPr>
        <w:t xml:space="preserve"> care </w:t>
      </w:r>
      <w:r w:rsidR="00CC31A0">
        <w:rPr>
          <w:rFonts w:cs="Arial"/>
          <w:szCs w:val="24"/>
        </w:rPr>
        <w:t>purposes</w:t>
      </w:r>
      <w:r w:rsidRPr="00032CF3">
        <w:rPr>
          <w:rFonts w:cs="Arial"/>
          <w:szCs w:val="24"/>
        </w:rPr>
        <w:t xml:space="preserve">, service providers can receive and share </w:t>
      </w:r>
      <w:r w:rsidR="000F63D5">
        <w:rPr>
          <w:rFonts w:cs="Arial"/>
          <w:szCs w:val="24"/>
        </w:rPr>
        <w:t>personal/confidential patient information</w:t>
      </w:r>
      <w:r w:rsidR="000F63D5" w:rsidRPr="00032CF3">
        <w:rPr>
          <w:rFonts w:cs="Arial"/>
          <w:szCs w:val="24"/>
        </w:rPr>
        <w:t xml:space="preserve"> </w:t>
      </w:r>
      <w:r w:rsidRPr="00032CF3">
        <w:rPr>
          <w:rFonts w:cs="Arial"/>
          <w:szCs w:val="24"/>
        </w:rPr>
        <w:t xml:space="preserve">by ensuring that they meet the lawful processing conditions as controllers.  </w:t>
      </w:r>
    </w:p>
    <w:p w14:paraId="6E276727" w14:textId="77777777" w:rsidR="00630FFD" w:rsidRPr="00032CF3" w:rsidRDefault="00630FFD" w:rsidP="005A3136">
      <w:pPr>
        <w:spacing w:before="0" w:after="0" w:line="276" w:lineRule="auto"/>
        <w:jc w:val="both"/>
        <w:rPr>
          <w:rFonts w:cs="Arial"/>
          <w:szCs w:val="24"/>
        </w:rPr>
      </w:pPr>
    </w:p>
    <w:p w14:paraId="78AD3AC0" w14:textId="77777777" w:rsidR="00630FFD" w:rsidRPr="00032CF3" w:rsidRDefault="00630FFD" w:rsidP="005A3136">
      <w:pPr>
        <w:spacing w:before="0" w:after="0" w:line="276" w:lineRule="auto"/>
        <w:jc w:val="both"/>
        <w:rPr>
          <w:rFonts w:cs="Arial"/>
          <w:szCs w:val="24"/>
        </w:rPr>
      </w:pPr>
      <w:r w:rsidRPr="00032CF3">
        <w:rPr>
          <w:rFonts w:cs="Arial"/>
          <w:szCs w:val="24"/>
        </w:rPr>
        <w:t xml:space="preserve">When sharing you need to be very clear about the purpose for which the information is being used. If it does not fit into the definition set out in </w:t>
      </w:r>
      <w:r w:rsidR="00741463" w:rsidRPr="00032CF3">
        <w:rPr>
          <w:rFonts w:cs="Arial"/>
          <w:szCs w:val="24"/>
        </w:rPr>
        <w:t>Appendix D</w:t>
      </w:r>
      <w:r w:rsidR="00C425E0" w:rsidRPr="00032CF3">
        <w:rPr>
          <w:rFonts w:cs="Arial"/>
          <w:szCs w:val="24"/>
        </w:rPr>
        <w:t xml:space="preserve"> it will not be considered as individual care </w:t>
      </w:r>
      <w:r w:rsidRPr="00032CF3">
        <w:rPr>
          <w:rFonts w:cs="Arial"/>
          <w:szCs w:val="24"/>
        </w:rPr>
        <w:t>and therefore the way in which the information governance rules apply will change</w:t>
      </w:r>
      <w:r w:rsidR="005A0E26" w:rsidRPr="00032CF3">
        <w:rPr>
          <w:rFonts w:cs="Arial"/>
          <w:szCs w:val="24"/>
        </w:rPr>
        <w:t xml:space="preserve"> (S</w:t>
      </w:r>
      <w:r w:rsidRPr="00032CF3">
        <w:rPr>
          <w:rFonts w:cs="Arial"/>
          <w:szCs w:val="24"/>
        </w:rPr>
        <w:t xml:space="preserve">ee </w:t>
      </w:r>
      <w:r w:rsidR="00B54932" w:rsidRPr="00032CF3">
        <w:rPr>
          <w:rFonts w:cs="Arial"/>
          <w:szCs w:val="24"/>
        </w:rPr>
        <w:t xml:space="preserve">journeys </w:t>
      </w:r>
      <w:r w:rsidRPr="00032CF3">
        <w:rPr>
          <w:rFonts w:cs="Arial"/>
          <w:szCs w:val="24"/>
        </w:rPr>
        <w:t xml:space="preserve">3 </w:t>
      </w:r>
      <w:r w:rsidR="005A0E26" w:rsidRPr="00032CF3">
        <w:rPr>
          <w:rFonts w:cs="Arial"/>
          <w:szCs w:val="24"/>
        </w:rPr>
        <w:t>and</w:t>
      </w:r>
      <w:r w:rsidRPr="00032CF3">
        <w:rPr>
          <w:rFonts w:cs="Arial"/>
          <w:szCs w:val="24"/>
        </w:rPr>
        <w:t xml:space="preserve"> 4</w:t>
      </w:r>
      <w:r w:rsidR="005A0E26" w:rsidRPr="00032CF3">
        <w:rPr>
          <w:rFonts w:cs="Arial"/>
          <w:szCs w:val="24"/>
        </w:rPr>
        <w:t>)</w:t>
      </w:r>
      <w:r w:rsidRPr="00032CF3">
        <w:rPr>
          <w:rFonts w:cs="Arial"/>
          <w:szCs w:val="24"/>
        </w:rPr>
        <w:t>.</w:t>
      </w:r>
    </w:p>
    <w:p w14:paraId="28B3D40F" w14:textId="77777777" w:rsidR="00630FFD" w:rsidRPr="00032CF3" w:rsidRDefault="00630FFD" w:rsidP="005A0E26">
      <w:pPr>
        <w:spacing w:before="0" w:after="0" w:line="276" w:lineRule="auto"/>
        <w:jc w:val="both"/>
        <w:rPr>
          <w:rFonts w:cs="Arial"/>
          <w:szCs w:val="24"/>
        </w:rPr>
      </w:pPr>
    </w:p>
    <w:p w14:paraId="15DB041E" w14:textId="77777777" w:rsidR="00630FFD" w:rsidRPr="00032CF3" w:rsidRDefault="00741463" w:rsidP="005A0E26">
      <w:pPr>
        <w:spacing w:before="0" w:after="0" w:line="276" w:lineRule="auto"/>
        <w:jc w:val="both"/>
        <w:rPr>
          <w:rFonts w:cs="Arial"/>
          <w:szCs w:val="24"/>
        </w:rPr>
      </w:pPr>
      <w:r w:rsidRPr="00032CF3">
        <w:rPr>
          <w:rFonts w:cs="Arial"/>
          <w:szCs w:val="24"/>
        </w:rPr>
        <w:t>Appendix D</w:t>
      </w:r>
      <w:r w:rsidR="00630FFD" w:rsidRPr="00032CF3">
        <w:rPr>
          <w:rFonts w:cs="Arial"/>
          <w:szCs w:val="24"/>
        </w:rPr>
        <w:t xml:space="preserve"> provides a definition of </w:t>
      </w:r>
      <w:r w:rsidR="008D2989" w:rsidRPr="00032CF3">
        <w:rPr>
          <w:rFonts w:cs="Arial"/>
          <w:szCs w:val="24"/>
        </w:rPr>
        <w:t>direct</w:t>
      </w:r>
      <w:r w:rsidR="00244B97" w:rsidRPr="00032CF3">
        <w:rPr>
          <w:rFonts w:cs="Arial"/>
          <w:szCs w:val="24"/>
        </w:rPr>
        <w:t>/</w:t>
      </w:r>
      <w:r w:rsidR="00630FFD" w:rsidRPr="00032CF3">
        <w:rPr>
          <w:rFonts w:cs="Arial"/>
          <w:szCs w:val="24"/>
        </w:rPr>
        <w:t xml:space="preserve">individual care as </w:t>
      </w:r>
      <w:r w:rsidR="00B6685D" w:rsidRPr="00032CF3">
        <w:rPr>
          <w:rFonts w:cs="Arial"/>
          <w:szCs w:val="24"/>
        </w:rPr>
        <w:t>defined</w:t>
      </w:r>
      <w:r w:rsidR="00630FFD" w:rsidRPr="00032CF3">
        <w:rPr>
          <w:rFonts w:cs="Arial"/>
          <w:szCs w:val="24"/>
        </w:rPr>
        <w:t xml:space="preserve"> in </w:t>
      </w:r>
      <w:r w:rsidR="008D2989" w:rsidRPr="00032CF3">
        <w:rPr>
          <w:rFonts w:cs="Arial"/>
          <w:szCs w:val="24"/>
        </w:rPr>
        <w:t>Dame Fiona Caldicott’s</w:t>
      </w:r>
      <w:r w:rsidR="00B6685D" w:rsidRPr="00032CF3">
        <w:rPr>
          <w:rFonts w:cs="Arial"/>
          <w:szCs w:val="24"/>
        </w:rPr>
        <w:t xml:space="preserve"> </w:t>
      </w:r>
      <w:r w:rsidR="00630FFD" w:rsidRPr="00032CF3">
        <w:rPr>
          <w:rFonts w:cs="Arial"/>
          <w:szCs w:val="24"/>
        </w:rPr>
        <w:t>Information Governance Review 2013.</w:t>
      </w:r>
      <w:r w:rsidR="008D2989" w:rsidRPr="00032CF3">
        <w:rPr>
          <w:rFonts w:cs="Arial"/>
          <w:szCs w:val="24"/>
        </w:rPr>
        <w:t xml:space="preserve"> In line with the advice of the Understanding Patient Data project </w:t>
      </w:r>
      <w:r w:rsidR="00B6685D" w:rsidRPr="00032CF3">
        <w:rPr>
          <w:rFonts w:cs="Arial"/>
          <w:szCs w:val="24"/>
        </w:rPr>
        <w:t>this document has substituted</w:t>
      </w:r>
      <w:r w:rsidR="008D2989" w:rsidRPr="00032CF3">
        <w:rPr>
          <w:rFonts w:cs="Arial"/>
          <w:szCs w:val="24"/>
        </w:rPr>
        <w:t xml:space="preserve"> the term “individual care”. Its meaning </w:t>
      </w:r>
      <w:r w:rsidR="00B6685D" w:rsidRPr="00032CF3">
        <w:rPr>
          <w:rFonts w:cs="Arial"/>
          <w:szCs w:val="24"/>
        </w:rPr>
        <w:t>and the conditions attach</w:t>
      </w:r>
      <w:r w:rsidR="005A3136">
        <w:rPr>
          <w:rFonts w:cs="Arial"/>
          <w:szCs w:val="24"/>
        </w:rPr>
        <w:t>ed</w:t>
      </w:r>
      <w:r w:rsidR="00B6685D" w:rsidRPr="00032CF3">
        <w:rPr>
          <w:rFonts w:cs="Arial"/>
          <w:szCs w:val="24"/>
        </w:rPr>
        <w:t xml:space="preserve"> to it are</w:t>
      </w:r>
      <w:r w:rsidR="008D2989" w:rsidRPr="00032CF3">
        <w:rPr>
          <w:rFonts w:cs="Arial"/>
          <w:szCs w:val="24"/>
        </w:rPr>
        <w:t xml:space="preserve"> exactly the same as </w:t>
      </w:r>
      <w:r w:rsidR="00B6685D" w:rsidRPr="00032CF3">
        <w:rPr>
          <w:rFonts w:cs="Arial"/>
          <w:szCs w:val="24"/>
        </w:rPr>
        <w:t>the definition of direct care in Dame Fiona’s 2013 review.</w:t>
      </w:r>
    </w:p>
    <w:p w14:paraId="0E399D03" w14:textId="77777777" w:rsidR="00630FFD" w:rsidRPr="00032CF3" w:rsidRDefault="00630FFD" w:rsidP="005A0E26">
      <w:pPr>
        <w:spacing w:before="0" w:after="0" w:line="276" w:lineRule="auto"/>
        <w:jc w:val="both"/>
        <w:rPr>
          <w:rFonts w:cs="Arial"/>
          <w:szCs w:val="24"/>
        </w:rPr>
      </w:pPr>
    </w:p>
    <w:p w14:paraId="534932B6" w14:textId="77777777" w:rsidR="00630FFD" w:rsidRPr="00032CF3" w:rsidRDefault="00630FFD" w:rsidP="005A0E26">
      <w:pPr>
        <w:spacing w:before="0" w:after="0" w:line="276" w:lineRule="auto"/>
        <w:jc w:val="both"/>
        <w:rPr>
          <w:rFonts w:cs="Arial"/>
          <w:szCs w:val="24"/>
        </w:rPr>
      </w:pPr>
      <w:r w:rsidRPr="00032CF3">
        <w:rPr>
          <w:rFonts w:cs="Arial"/>
          <w:szCs w:val="24"/>
        </w:rPr>
        <w:t>See Appendix</w:t>
      </w:r>
      <w:r w:rsidR="00741463" w:rsidRPr="00032CF3">
        <w:rPr>
          <w:rFonts w:cs="Arial"/>
          <w:szCs w:val="24"/>
        </w:rPr>
        <w:t xml:space="preserve"> C</w:t>
      </w:r>
      <w:r w:rsidRPr="00032CF3">
        <w:rPr>
          <w:rFonts w:cs="Arial"/>
          <w:szCs w:val="24"/>
        </w:rPr>
        <w:t xml:space="preserve"> for a detailed governance process.</w:t>
      </w:r>
    </w:p>
    <w:p w14:paraId="3A2B59EB" w14:textId="77777777" w:rsidR="00AA0AFD" w:rsidRPr="00032CF3" w:rsidRDefault="00AA0AFD" w:rsidP="00630FFD">
      <w:pPr>
        <w:spacing w:before="0" w:after="0" w:line="276" w:lineRule="auto"/>
        <w:jc w:val="both"/>
        <w:rPr>
          <w:rFonts w:cs="Arial"/>
          <w:szCs w:val="24"/>
        </w:rPr>
      </w:pPr>
    </w:p>
    <w:p w14:paraId="2C255222" w14:textId="77777777" w:rsidR="001E5F45" w:rsidRDefault="00D412F0" w:rsidP="00D412F0">
      <w:pPr>
        <w:rPr>
          <w:rFonts w:cs="Arial"/>
          <w:b/>
          <w:szCs w:val="24"/>
        </w:rPr>
      </w:pPr>
      <w:r w:rsidRPr="00032CF3">
        <w:rPr>
          <w:rFonts w:cs="Arial"/>
          <w:b/>
          <w:szCs w:val="24"/>
        </w:rPr>
        <w:t xml:space="preserve">Example </w:t>
      </w:r>
      <w:r w:rsidR="00812A15">
        <w:rPr>
          <w:rFonts w:cs="Arial"/>
          <w:b/>
          <w:szCs w:val="24"/>
        </w:rPr>
        <w:t>Task</w:t>
      </w:r>
      <w:r w:rsidR="00812A15" w:rsidRPr="00032CF3">
        <w:rPr>
          <w:rFonts w:cs="Arial"/>
          <w:b/>
          <w:szCs w:val="24"/>
        </w:rPr>
        <w:t>list</w:t>
      </w:r>
      <w:r w:rsidR="00812A15">
        <w:rPr>
          <w:rFonts w:cs="Arial"/>
          <w:b/>
          <w:szCs w:val="24"/>
        </w:rPr>
        <w:t xml:space="preserve"> (not exhaustive)</w:t>
      </w:r>
      <w:r w:rsidR="00812A15" w:rsidDel="00812A15">
        <w:rPr>
          <w:rFonts w:cs="Arial"/>
          <w:b/>
          <w:szCs w:val="24"/>
        </w:rPr>
        <w:t xml:space="preserve"> </w:t>
      </w:r>
      <w:r w:rsidRPr="00032CF3">
        <w:rPr>
          <w:rFonts w:cs="Arial"/>
          <w:b/>
          <w:szCs w:val="24"/>
        </w:rPr>
        <w:t xml:space="preserve"> </w:t>
      </w:r>
    </w:p>
    <w:p w14:paraId="2ECC99F3" w14:textId="77777777" w:rsidR="00D412F0" w:rsidRPr="00550B8A" w:rsidRDefault="001E5F45" w:rsidP="00D412F0">
      <w:pPr>
        <w:rPr>
          <w:rFonts w:cs="Arial"/>
          <w:szCs w:val="24"/>
        </w:rPr>
      </w:pPr>
      <w:r w:rsidRPr="00550B8A">
        <w:rPr>
          <w:rFonts w:cs="Arial"/>
          <w:szCs w:val="24"/>
        </w:rPr>
        <w:t xml:space="preserve">By completing this tasklist, this will help </w:t>
      </w:r>
      <w:r w:rsidR="006502FF" w:rsidRPr="00550B8A">
        <w:rPr>
          <w:rFonts w:cs="Arial"/>
          <w:szCs w:val="24"/>
        </w:rPr>
        <w:t>GDPR Art. 30 requirements for ROPA.</w:t>
      </w:r>
    </w:p>
    <w:tbl>
      <w:tblPr>
        <w:tblStyle w:val="TableElegant"/>
        <w:tblW w:w="10060" w:type="dxa"/>
        <w:tblLook w:val="04A0" w:firstRow="1" w:lastRow="0" w:firstColumn="1" w:lastColumn="0" w:noHBand="0" w:noVBand="1"/>
      </w:tblPr>
      <w:tblGrid>
        <w:gridCol w:w="662"/>
        <w:gridCol w:w="5045"/>
        <w:gridCol w:w="2803"/>
        <w:gridCol w:w="1550"/>
      </w:tblGrid>
      <w:tr w:rsidR="00013601" w:rsidRPr="00032CF3" w14:paraId="26DABA20" w14:textId="77777777" w:rsidTr="00911F4F">
        <w:trPr>
          <w:cnfStyle w:val="100000000000" w:firstRow="1" w:lastRow="0" w:firstColumn="0" w:lastColumn="0" w:oddVBand="0" w:evenVBand="0" w:oddHBand="0" w:evenHBand="0" w:firstRowFirstColumn="0" w:firstRowLastColumn="0" w:lastRowFirstColumn="0" w:lastRowLastColumn="0"/>
        </w:trPr>
        <w:tc>
          <w:tcPr>
            <w:tcW w:w="698" w:type="dxa"/>
            <w:shd w:val="clear" w:color="auto" w:fill="D9D9D9" w:themeFill="background1" w:themeFillShade="D9"/>
          </w:tcPr>
          <w:p w14:paraId="7A3AD092" w14:textId="77777777" w:rsidR="00936F28" w:rsidRPr="00032CF3" w:rsidRDefault="00936F28" w:rsidP="00EB1A49">
            <w:pPr>
              <w:rPr>
                <w:rFonts w:cs="Arial"/>
                <w:b/>
                <w:color w:val="000000" w:themeColor="text1"/>
                <w:szCs w:val="24"/>
              </w:rPr>
            </w:pPr>
            <w:bookmarkStart w:id="55" w:name="_Hlk3804415"/>
          </w:p>
        </w:tc>
        <w:tc>
          <w:tcPr>
            <w:tcW w:w="5450" w:type="dxa"/>
            <w:shd w:val="clear" w:color="auto" w:fill="D9D9D9" w:themeFill="background1" w:themeFillShade="D9"/>
          </w:tcPr>
          <w:p w14:paraId="3D607450" w14:textId="77777777" w:rsidR="00936F28" w:rsidRPr="00032CF3" w:rsidRDefault="00936F28" w:rsidP="00EB1A49">
            <w:pPr>
              <w:rPr>
                <w:rFonts w:cs="Arial"/>
                <w:b/>
                <w:color w:val="000000" w:themeColor="text1"/>
                <w:szCs w:val="24"/>
              </w:rPr>
            </w:pPr>
            <w:r w:rsidRPr="00032CF3">
              <w:rPr>
                <w:rFonts w:cs="Arial"/>
                <w:b/>
                <w:color w:val="000000" w:themeColor="text1"/>
                <w:szCs w:val="24"/>
              </w:rPr>
              <w:t>Task</w:t>
            </w:r>
          </w:p>
        </w:tc>
        <w:tc>
          <w:tcPr>
            <w:tcW w:w="2494" w:type="dxa"/>
            <w:shd w:val="clear" w:color="auto" w:fill="D9D9D9" w:themeFill="background1" w:themeFillShade="D9"/>
          </w:tcPr>
          <w:p w14:paraId="385B03E5" w14:textId="77777777" w:rsidR="00936F28" w:rsidRPr="00032CF3" w:rsidRDefault="00936F28" w:rsidP="00EB1A49">
            <w:pPr>
              <w:rPr>
                <w:rFonts w:cs="Arial"/>
                <w:b/>
                <w:color w:val="000000" w:themeColor="text1"/>
                <w:szCs w:val="24"/>
              </w:rPr>
            </w:pPr>
            <w:r w:rsidRPr="00032CF3">
              <w:rPr>
                <w:rFonts w:cs="Arial"/>
                <w:b/>
                <w:color w:val="000000" w:themeColor="text1"/>
                <w:szCs w:val="24"/>
              </w:rPr>
              <w:t>Tools and Template/Appendix</w:t>
            </w:r>
          </w:p>
        </w:tc>
        <w:tc>
          <w:tcPr>
            <w:tcW w:w="1418" w:type="dxa"/>
            <w:shd w:val="clear" w:color="auto" w:fill="D9D9D9" w:themeFill="background1" w:themeFillShade="D9"/>
          </w:tcPr>
          <w:p w14:paraId="16B13213" w14:textId="77777777" w:rsidR="00936F28" w:rsidRPr="00032CF3" w:rsidRDefault="00936F28" w:rsidP="00EB1A49">
            <w:pPr>
              <w:rPr>
                <w:rFonts w:cs="Arial"/>
                <w:b/>
                <w:color w:val="000000" w:themeColor="text1"/>
                <w:szCs w:val="24"/>
              </w:rPr>
            </w:pPr>
            <w:r w:rsidRPr="00032CF3">
              <w:rPr>
                <w:rFonts w:cs="Arial"/>
                <w:b/>
                <w:color w:val="000000" w:themeColor="text1"/>
                <w:szCs w:val="24"/>
              </w:rPr>
              <w:t>Complete</w:t>
            </w:r>
          </w:p>
        </w:tc>
      </w:tr>
      <w:tr w:rsidR="00936F28" w:rsidRPr="00032CF3" w14:paraId="2EAD1A34" w14:textId="77777777" w:rsidTr="003D6276">
        <w:tc>
          <w:tcPr>
            <w:tcW w:w="698" w:type="dxa"/>
          </w:tcPr>
          <w:p w14:paraId="30233272" w14:textId="77777777" w:rsidR="00936F28" w:rsidRPr="00032CF3" w:rsidRDefault="00936F28" w:rsidP="00EB1A49">
            <w:pPr>
              <w:rPr>
                <w:rFonts w:cs="Arial"/>
                <w:color w:val="000000" w:themeColor="text1"/>
                <w:szCs w:val="24"/>
              </w:rPr>
            </w:pPr>
            <w:r w:rsidRPr="00032CF3">
              <w:rPr>
                <w:rFonts w:cs="Arial"/>
                <w:color w:val="000000" w:themeColor="text1"/>
                <w:szCs w:val="24"/>
              </w:rPr>
              <w:t>1</w:t>
            </w:r>
          </w:p>
        </w:tc>
        <w:tc>
          <w:tcPr>
            <w:tcW w:w="5450" w:type="dxa"/>
          </w:tcPr>
          <w:p w14:paraId="51530A91" w14:textId="77777777" w:rsidR="00936F28" w:rsidRPr="00032CF3" w:rsidRDefault="00936F28" w:rsidP="00EB1A49">
            <w:pPr>
              <w:rPr>
                <w:rFonts w:cs="Arial"/>
                <w:color w:val="000000" w:themeColor="text1"/>
                <w:szCs w:val="24"/>
              </w:rPr>
            </w:pPr>
            <w:r w:rsidRPr="00032CF3">
              <w:rPr>
                <w:rFonts w:cs="Arial"/>
                <w:szCs w:val="24"/>
              </w:rPr>
              <w:t>Describe your care system’s structure</w:t>
            </w:r>
          </w:p>
        </w:tc>
        <w:tc>
          <w:tcPr>
            <w:tcW w:w="2494" w:type="dxa"/>
          </w:tcPr>
          <w:p w14:paraId="79C93DA1" w14:textId="77777777" w:rsidR="00936F28" w:rsidRPr="00032CF3" w:rsidRDefault="00741463" w:rsidP="00EB1A49">
            <w:pPr>
              <w:rPr>
                <w:rFonts w:cs="Arial"/>
                <w:color w:val="000000" w:themeColor="text1"/>
                <w:szCs w:val="24"/>
              </w:rPr>
            </w:pPr>
            <w:r w:rsidRPr="00032CF3">
              <w:rPr>
                <w:rFonts w:cs="Arial"/>
                <w:color w:val="000000" w:themeColor="text1"/>
                <w:szCs w:val="24"/>
              </w:rPr>
              <w:t>Appendix H</w:t>
            </w:r>
            <w:r w:rsidR="00AA0AFD" w:rsidRPr="00032CF3">
              <w:rPr>
                <w:rFonts w:cs="Arial"/>
                <w:color w:val="000000" w:themeColor="text1"/>
                <w:szCs w:val="24"/>
              </w:rPr>
              <w:t xml:space="preserve"> (4.1)</w:t>
            </w:r>
          </w:p>
        </w:tc>
        <w:tc>
          <w:tcPr>
            <w:tcW w:w="1418" w:type="dxa"/>
          </w:tcPr>
          <w:p w14:paraId="384E4B57" w14:textId="77777777" w:rsidR="00936F28" w:rsidRPr="00032CF3" w:rsidRDefault="00936F28" w:rsidP="00EB1A49">
            <w:pPr>
              <w:rPr>
                <w:rFonts w:cs="Arial"/>
                <w:color w:val="000000" w:themeColor="text1"/>
                <w:szCs w:val="24"/>
              </w:rPr>
            </w:pPr>
          </w:p>
        </w:tc>
      </w:tr>
      <w:tr w:rsidR="00936F28" w:rsidRPr="00032CF3" w14:paraId="41077463" w14:textId="77777777" w:rsidTr="003D6276">
        <w:tc>
          <w:tcPr>
            <w:tcW w:w="698" w:type="dxa"/>
          </w:tcPr>
          <w:p w14:paraId="41D30F50" w14:textId="77777777" w:rsidR="00936F28" w:rsidRPr="00032CF3" w:rsidRDefault="00936F28" w:rsidP="00EB1A49">
            <w:pPr>
              <w:rPr>
                <w:rFonts w:cs="Arial"/>
                <w:color w:val="000000" w:themeColor="text1"/>
                <w:szCs w:val="24"/>
              </w:rPr>
            </w:pPr>
            <w:r w:rsidRPr="00032CF3">
              <w:rPr>
                <w:rFonts w:cs="Arial"/>
                <w:color w:val="000000" w:themeColor="text1"/>
                <w:szCs w:val="24"/>
              </w:rPr>
              <w:t>2</w:t>
            </w:r>
          </w:p>
        </w:tc>
        <w:tc>
          <w:tcPr>
            <w:tcW w:w="5450" w:type="dxa"/>
          </w:tcPr>
          <w:p w14:paraId="58FF4268" w14:textId="77777777" w:rsidR="00936F28" w:rsidRPr="00032CF3" w:rsidRDefault="00936F28" w:rsidP="00EB1A49">
            <w:pPr>
              <w:rPr>
                <w:rFonts w:cs="Arial"/>
                <w:szCs w:val="24"/>
              </w:rPr>
            </w:pPr>
            <w:r w:rsidRPr="00032CF3">
              <w:rPr>
                <w:rFonts w:cs="Arial"/>
                <w:szCs w:val="24"/>
              </w:rPr>
              <w:t>Define how your care system will govern data use</w:t>
            </w:r>
          </w:p>
        </w:tc>
        <w:tc>
          <w:tcPr>
            <w:tcW w:w="2494" w:type="dxa"/>
          </w:tcPr>
          <w:p w14:paraId="53A38186" w14:textId="77777777" w:rsidR="00936F28" w:rsidRPr="00032CF3" w:rsidRDefault="00741463" w:rsidP="00EB1A49">
            <w:pPr>
              <w:rPr>
                <w:rFonts w:cs="Arial"/>
                <w:color w:val="000000" w:themeColor="text1"/>
                <w:szCs w:val="24"/>
              </w:rPr>
            </w:pPr>
            <w:r w:rsidRPr="00032CF3">
              <w:rPr>
                <w:rFonts w:cs="Arial"/>
                <w:color w:val="000000" w:themeColor="text1"/>
                <w:szCs w:val="24"/>
              </w:rPr>
              <w:t>Appendix C</w:t>
            </w:r>
          </w:p>
          <w:p w14:paraId="42ACC12E" w14:textId="77777777" w:rsidR="00AA0AFD" w:rsidRPr="00032CF3" w:rsidRDefault="00741463" w:rsidP="00EB1A49">
            <w:pPr>
              <w:rPr>
                <w:rFonts w:cs="Arial"/>
                <w:color w:val="000000" w:themeColor="text1"/>
                <w:szCs w:val="24"/>
              </w:rPr>
            </w:pPr>
            <w:r w:rsidRPr="00032CF3">
              <w:rPr>
                <w:rFonts w:cs="Arial"/>
                <w:color w:val="000000" w:themeColor="text1"/>
                <w:szCs w:val="24"/>
              </w:rPr>
              <w:t>Appendix H</w:t>
            </w:r>
            <w:r w:rsidR="00AA0AFD" w:rsidRPr="00032CF3">
              <w:rPr>
                <w:rFonts w:cs="Arial"/>
                <w:color w:val="000000" w:themeColor="text1"/>
                <w:szCs w:val="24"/>
              </w:rPr>
              <w:t xml:space="preserve"> (2.1)</w:t>
            </w:r>
          </w:p>
        </w:tc>
        <w:tc>
          <w:tcPr>
            <w:tcW w:w="1418" w:type="dxa"/>
          </w:tcPr>
          <w:p w14:paraId="787BD0D5" w14:textId="77777777" w:rsidR="00936F28" w:rsidRPr="00032CF3" w:rsidRDefault="00936F28" w:rsidP="00EB1A49">
            <w:pPr>
              <w:rPr>
                <w:rFonts w:cs="Arial"/>
                <w:color w:val="000000" w:themeColor="text1"/>
                <w:szCs w:val="24"/>
              </w:rPr>
            </w:pPr>
          </w:p>
        </w:tc>
      </w:tr>
      <w:tr w:rsidR="00936F28" w:rsidRPr="00032CF3" w14:paraId="44988A4C" w14:textId="77777777" w:rsidTr="003D6276">
        <w:tc>
          <w:tcPr>
            <w:tcW w:w="698" w:type="dxa"/>
          </w:tcPr>
          <w:p w14:paraId="5608E14A" w14:textId="77777777" w:rsidR="00936F28" w:rsidRPr="00032CF3" w:rsidRDefault="00936F28" w:rsidP="00EB1A49">
            <w:pPr>
              <w:rPr>
                <w:rFonts w:cs="Arial"/>
                <w:color w:val="000000" w:themeColor="text1"/>
                <w:szCs w:val="24"/>
              </w:rPr>
            </w:pPr>
            <w:r w:rsidRPr="00032CF3">
              <w:rPr>
                <w:rFonts w:cs="Arial"/>
                <w:color w:val="000000" w:themeColor="text1"/>
                <w:szCs w:val="24"/>
              </w:rPr>
              <w:t>3</w:t>
            </w:r>
          </w:p>
        </w:tc>
        <w:tc>
          <w:tcPr>
            <w:tcW w:w="5450" w:type="dxa"/>
          </w:tcPr>
          <w:p w14:paraId="2DB7C03B" w14:textId="77777777" w:rsidR="00936F28" w:rsidRPr="00032CF3" w:rsidRDefault="00911F4F" w:rsidP="00EB1A49">
            <w:pPr>
              <w:rPr>
                <w:rFonts w:cs="Arial"/>
                <w:szCs w:val="24"/>
              </w:rPr>
            </w:pPr>
            <w:r w:rsidRPr="00032CF3">
              <w:rPr>
                <w:rFonts w:cs="Arial"/>
                <w:szCs w:val="24"/>
              </w:rPr>
              <w:t>I</w:t>
            </w:r>
            <w:r w:rsidR="00936F28" w:rsidRPr="00032CF3">
              <w:rPr>
                <w:rFonts w:cs="Arial"/>
                <w:szCs w:val="24"/>
              </w:rPr>
              <w:t>dentify the lawful basis for your data sharing activities and allocate them</w:t>
            </w:r>
          </w:p>
        </w:tc>
        <w:tc>
          <w:tcPr>
            <w:tcW w:w="2494" w:type="dxa"/>
          </w:tcPr>
          <w:p w14:paraId="7D5663EF" w14:textId="77777777" w:rsidR="00936F28" w:rsidRPr="00032CF3" w:rsidRDefault="00AA0AFD" w:rsidP="00EB1A49">
            <w:pPr>
              <w:rPr>
                <w:rFonts w:cs="Arial"/>
                <w:color w:val="000000" w:themeColor="text1"/>
                <w:szCs w:val="24"/>
              </w:rPr>
            </w:pPr>
            <w:r w:rsidRPr="00032CF3">
              <w:rPr>
                <w:rFonts w:cs="Arial"/>
                <w:color w:val="000000" w:themeColor="text1"/>
                <w:szCs w:val="24"/>
              </w:rPr>
              <w:t>A</w:t>
            </w:r>
            <w:r w:rsidR="00741463" w:rsidRPr="00032CF3">
              <w:rPr>
                <w:rFonts w:cs="Arial"/>
                <w:color w:val="000000" w:themeColor="text1"/>
                <w:szCs w:val="24"/>
              </w:rPr>
              <w:t>ppendix H</w:t>
            </w:r>
            <w:r w:rsidRPr="00032CF3">
              <w:rPr>
                <w:rFonts w:cs="Arial"/>
                <w:color w:val="000000" w:themeColor="text1"/>
                <w:szCs w:val="24"/>
              </w:rPr>
              <w:t xml:space="preserve"> (4.2)</w:t>
            </w:r>
          </w:p>
        </w:tc>
        <w:tc>
          <w:tcPr>
            <w:tcW w:w="1418" w:type="dxa"/>
          </w:tcPr>
          <w:p w14:paraId="7644B31E" w14:textId="77777777" w:rsidR="00936F28" w:rsidRPr="00032CF3" w:rsidRDefault="00936F28" w:rsidP="00EB1A49">
            <w:pPr>
              <w:rPr>
                <w:rFonts w:cs="Arial"/>
                <w:color w:val="000000" w:themeColor="text1"/>
                <w:szCs w:val="24"/>
              </w:rPr>
            </w:pPr>
          </w:p>
        </w:tc>
      </w:tr>
      <w:tr w:rsidR="00936F28" w:rsidRPr="00032CF3" w14:paraId="7DB98D12" w14:textId="77777777" w:rsidTr="003D6276">
        <w:tc>
          <w:tcPr>
            <w:tcW w:w="698" w:type="dxa"/>
          </w:tcPr>
          <w:p w14:paraId="2AFE5DF4" w14:textId="77777777" w:rsidR="00936F28" w:rsidRPr="00032CF3" w:rsidRDefault="00936F28" w:rsidP="00EB1A49">
            <w:pPr>
              <w:rPr>
                <w:rFonts w:cs="Arial"/>
                <w:color w:val="000000" w:themeColor="text1"/>
                <w:szCs w:val="24"/>
              </w:rPr>
            </w:pPr>
            <w:r w:rsidRPr="00032CF3">
              <w:rPr>
                <w:rFonts w:cs="Arial"/>
                <w:color w:val="000000" w:themeColor="text1"/>
                <w:szCs w:val="24"/>
              </w:rPr>
              <w:t>4</w:t>
            </w:r>
          </w:p>
        </w:tc>
        <w:tc>
          <w:tcPr>
            <w:tcW w:w="5450" w:type="dxa"/>
          </w:tcPr>
          <w:p w14:paraId="7B671308" w14:textId="77777777" w:rsidR="00936F28" w:rsidRPr="00032CF3" w:rsidRDefault="00911F4F" w:rsidP="00EB1A49">
            <w:pPr>
              <w:rPr>
                <w:rFonts w:cs="Arial"/>
                <w:szCs w:val="24"/>
              </w:rPr>
            </w:pPr>
            <w:r w:rsidRPr="00032CF3">
              <w:rPr>
                <w:rFonts w:cs="Arial"/>
                <w:szCs w:val="24"/>
              </w:rPr>
              <w:t>U</w:t>
            </w:r>
            <w:r w:rsidR="00936F28" w:rsidRPr="00032CF3">
              <w:rPr>
                <w:rFonts w:cs="Arial"/>
                <w:szCs w:val="24"/>
              </w:rPr>
              <w:t>nderstand what data you require</w:t>
            </w:r>
          </w:p>
        </w:tc>
        <w:tc>
          <w:tcPr>
            <w:tcW w:w="2494" w:type="dxa"/>
          </w:tcPr>
          <w:p w14:paraId="3C521F5B" w14:textId="77777777" w:rsidR="00936F28" w:rsidRPr="00032CF3" w:rsidRDefault="00AA0AFD" w:rsidP="00EB1A49">
            <w:pPr>
              <w:rPr>
                <w:rFonts w:cs="Arial"/>
                <w:color w:val="000000" w:themeColor="text1"/>
                <w:szCs w:val="24"/>
              </w:rPr>
            </w:pPr>
            <w:r w:rsidRPr="00032CF3">
              <w:rPr>
                <w:rFonts w:cs="Arial"/>
                <w:color w:val="FF0000"/>
                <w:szCs w:val="24"/>
              </w:rPr>
              <w:t>Tbc – data mapping</w:t>
            </w:r>
          </w:p>
        </w:tc>
        <w:tc>
          <w:tcPr>
            <w:tcW w:w="1418" w:type="dxa"/>
          </w:tcPr>
          <w:p w14:paraId="3589ACDE" w14:textId="77777777" w:rsidR="00936F28" w:rsidRPr="00032CF3" w:rsidRDefault="00936F28" w:rsidP="00EB1A49">
            <w:pPr>
              <w:rPr>
                <w:rFonts w:cs="Arial"/>
                <w:color w:val="000000" w:themeColor="text1"/>
                <w:szCs w:val="24"/>
              </w:rPr>
            </w:pPr>
          </w:p>
        </w:tc>
      </w:tr>
      <w:tr w:rsidR="00936F28" w:rsidRPr="00032CF3" w14:paraId="31654EAE" w14:textId="77777777" w:rsidTr="003D6276">
        <w:tc>
          <w:tcPr>
            <w:tcW w:w="698" w:type="dxa"/>
          </w:tcPr>
          <w:p w14:paraId="5265F63B" w14:textId="77777777" w:rsidR="00936F28" w:rsidRPr="00032CF3" w:rsidRDefault="00936F28" w:rsidP="00EB1A49">
            <w:pPr>
              <w:rPr>
                <w:rFonts w:cs="Arial"/>
                <w:color w:val="000000" w:themeColor="text1"/>
                <w:szCs w:val="24"/>
              </w:rPr>
            </w:pPr>
            <w:r w:rsidRPr="00032CF3">
              <w:rPr>
                <w:rFonts w:cs="Arial"/>
                <w:color w:val="000000" w:themeColor="text1"/>
                <w:szCs w:val="24"/>
              </w:rPr>
              <w:t>5</w:t>
            </w:r>
          </w:p>
        </w:tc>
        <w:tc>
          <w:tcPr>
            <w:tcW w:w="5450" w:type="dxa"/>
          </w:tcPr>
          <w:p w14:paraId="2CA417AB" w14:textId="77777777" w:rsidR="00936F28" w:rsidRPr="00032CF3" w:rsidRDefault="00936F28" w:rsidP="00EB1A49">
            <w:pPr>
              <w:rPr>
                <w:rFonts w:cs="Arial"/>
                <w:szCs w:val="24"/>
              </w:rPr>
            </w:pPr>
            <w:r w:rsidRPr="00032CF3">
              <w:rPr>
                <w:rFonts w:cs="Arial"/>
                <w:szCs w:val="24"/>
              </w:rPr>
              <w:t>Demonstrate how you will protect the data</w:t>
            </w:r>
          </w:p>
        </w:tc>
        <w:tc>
          <w:tcPr>
            <w:tcW w:w="2494" w:type="dxa"/>
          </w:tcPr>
          <w:p w14:paraId="2E2CB39E" w14:textId="77777777" w:rsidR="00936F28" w:rsidRPr="00032CF3" w:rsidRDefault="00741463" w:rsidP="00EB1A49">
            <w:pPr>
              <w:rPr>
                <w:rFonts w:cs="Arial"/>
                <w:color w:val="000000" w:themeColor="text1"/>
                <w:szCs w:val="24"/>
              </w:rPr>
            </w:pPr>
            <w:r w:rsidRPr="00032CF3">
              <w:rPr>
                <w:rFonts w:cs="Arial"/>
                <w:color w:val="000000" w:themeColor="text1"/>
                <w:szCs w:val="24"/>
              </w:rPr>
              <w:t>Appendix H</w:t>
            </w:r>
            <w:r w:rsidR="00911F4F" w:rsidRPr="00032CF3">
              <w:rPr>
                <w:rFonts w:cs="Arial"/>
                <w:color w:val="000000" w:themeColor="text1"/>
                <w:szCs w:val="24"/>
              </w:rPr>
              <w:t xml:space="preserve"> </w:t>
            </w:r>
            <w:r w:rsidR="00AA0AFD" w:rsidRPr="00032CF3">
              <w:rPr>
                <w:rFonts w:cs="Arial"/>
                <w:color w:val="000000" w:themeColor="text1"/>
                <w:szCs w:val="24"/>
              </w:rPr>
              <w:t>(4.5)</w:t>
            </w:r>
          </w:p>
        </w:tc>
        <w:tc>
          <w:tcPr>
            <w:tcW w:w="1418" w:type="dxa"/>
          </w:tcPr>
          <w:p w14:paraId="03F38C98" w14:textId="77777777" w:rsidR="00936F28" w:rsidRPr="00032CF3" w:rsidRDefault="00936F28" w:rsidP="00EB1A49">
            <w:pPr>
              <w:rPr>
                <w:rFonts w:cs="Arial"/>
                <w:color w:val="000000" w:themeColor="text1"/>
                <w:szCs w:val="24"/>
              </w:rPr>
            </w:pPr>
          </w:p>
        </w:tc>
      </w:tr>
      <w:tr w:rsidR="00936F28" w:rsidRPr="00032CF3" w14:paraId="60160444" w14:textId="77777777" w:rsidTr="003D6276">
        <w:tc>
          <w:tcPr>
            <w:tcW w:w="698" w:type="dxa"/>
          </w:tcPr>
          <w:p w14:paraId="16882A2D" w14:textId="77777777" w:rsidR="00936F28" w:rsidRPr="00032CF3" w:rsidRDefault="00936F28" w:rsidP="00EB1A49">
            <w:pPr>
              <w:rPr>
                <w:rFonts w:cs="Arial"/>
                <w:color w:val="000000" w:themeColor="text1"/>
                <w:szCs w:val="24"/>
              </w:rPr>
            </w:pPr>
            <w:r w:rsidRPr="00032CF3">
              <w:rPr>
                <w:rFonts w:cs="Arial"/>
                <w:color w:val="000000" w:themeColor="text1"/>
                <w:szCs w:val="24"/>
              </w:rPr>
              <w:t>6</w:t>
            </w:r>
          </w:p>
        </w:tc>
        <w:tc>
          <w:tcPr>
            <w:tcW w:w="5450" w:type="dxa"/>
          </w:tcPr>
          <w:p w14:paraId="00C6C656" w14:textId="77777777" w:rsidR="00936F28" w:rsidRPr="00032CF3" w:rsidRDefault="00936F28" w:rsidP="00EB1A49">
            <w:pPr>
              <w:rPr>
                <w:rFonts w:cs="Arial"/>
                <w:szCs w:val="24"/>
              </w:rPr>
            </w:pPr>
            <w:r w:rsidRPr="00032CF3">
              <w:rPr>
                <w:rFonts w:cs="Arial"/>
                <w:szCs w:val="24"/>
              </w:rPr>
              <w:t>Ensure appropriate contracts and agreements are in place</w:t>
            </w:r>
          </w:p>
        </w:tc>
        <w:tc>
          <w:tcPr>
            <w:tcW w:w="2494" w:type="dxa"/>
          </w:tcPr>
          <w:p w14:paraId="64B37761" w14:textId="77777777" w:rsidR="00936F28" w:rsidRPr="00032CF3" w:rsidRDefault="00741463" w:rsidP="00EB1A49">
            <w:pPr>
              <w:rPr>
                <w:rFonts w:cs="Arial"/>
                <w:color w:val="000000" w:themeColor="text1"/>
                <w:szCs w:val="24"/>
              </w:rPr>
            </w:pPr>
            <w:r w:rsidRPr="00032CF3">
              <w:rPr>
                <w:rFonts w:cs="Arial"/>
                <w:color w:val="000000" w:themeColor="text1"/>
                <w:szCs w:val="24"/>
              </w:rPr>
              <w:t>Appendix H</w:t>
            </w:r>
            <w:r w:rsidR="00AA0AFD" w:rsidRPr="00032CF3">
              <w:rPr>
                <w:rFonts w:cs="Arial"/>
                <w:color w:val="000000" w:themeColor="text1"/>
                <w:szCs w:val="24"/>
              </w:rPr>
              <w:t xml:space="preserve"> (4.3)</w:t>
            </w:r>
          </w:p>
        </w:tc>
        <w:tc>
          <w:tcPr>
            <w:tcW w:w="1418" w:type="dxa"/>
          </w:tcPr>
          <w:p w14:paraId="53F7AF89" w14:textId="77777777" w:rsidR="00936F28" w:rsidRPr="00032CF3" w:rsidRDefault="00936F28" w:rsidP="00EB1A49">
            <w:pPr>
              <w:rPr>
                <w:rFonts w:cs="Arial"/>
                <w:color w:val="000000" w:themeColor="text1"/>
                <w:szCs w:val="24"/>
              </w:rPr>
            </w:pPr>
          </w:p>
        </w:tc>
      </w:tr>
      <w:tr w:rsidR="00936F28" w:rsidRPr="00032CF3" w14:paraId="6AD698DF" w14:textId="77777777" w:rsidTr="003D6276">
        <w:tc>
          <w:tcPr>
            <w:tcW w:w="698" w:type="dxa"/>
          </w:tcPr>
          <w:p w14:paraId="47AE9B51" w14:textId="77777777" w:rsidR="00936F28" w:rsidRPr="00032CF3" w:rsidRDefault="00936F28" w:rsidP="00EB1A49">
            <w:pPr>
              <w:rPr>
                <w:rFonts w:cs="Arial"/>
                <w:color w:val="000000" w:themeColor="text1"/>
                <w:szCs w:val="24"/>
              </w:rPr>
            </w:pPr>
            <w:r w:rsidRPr="00032CF3">
              <w:rPr>
                <w:rFonts w:cs="Arial"/>
                <w:color w:val="000000" w:themeColor="text1"/>
                <w:szCs w:val="24"/>
              </w:rPr>
              <w:t>7</w:t>
            </w:r>
          </w:p>
        </w:tc>
        <w:tc>
          <w:tcPr>
            <w:tcW w:w="5450" w:type="dxa"/>
          </w:tcPr>
          <w:p w14:paraId="10893A83" w14:textId="77777777" w:rsidR="00936F28" w:rsidRPr="00032CF3" w:rsidRDefault="00B34A81" w:rsidP="00EB1A49">
            <w:pPr>
              <w:rPr>
                <w:rFonts w:cs="Arial"/>
                <w:szCs w:val="24"/>
              </w:rPr>
            </w:pPr>
            <w:r w:rsidRPr="00032CF3">
              <w:rPr>
                <w:rFonts w:cs="Arial"/>
                <w:szCs w:val="24"/>
              </w:rPr>
              <w:t>Assure your population that processing is fair and transparent</w:t>
            </w:r>
          </w:p>
        </w:tc>
        <w:tc>
          <w:tcPr>
            <w:tcW w:w="2494" w:type="dxa"/>
          </w:tcPr>
          <w:p w14:paraId="7B965D06" w14:textId="77777777" w:rsidR="00936F28" w:rsidRPr="00032CF3" w:rsidRDefault="00741463" w:rsidP="00EB1A49">
            <w:pPr>
              <w:rPr>
                <w:rFonts w:cs="Arial"/>
                <w:color w:val="000000" w:themeColor="text1"/>
                <w:szCs w:val="24"/>
              </w:rPr>
            </w:pPr>
            <w:r w:rsidRPr="00032CF3">
              <w:rPr>
                <w:rFonts w:cs="Arial"/>
                <w:color w:val="000000" w:themeColor="text1"/>
                <w:szCs w:val="24"/>
              </w:rPr>
              <w:t>Appendix H</w:t>
            </w:r>
            <w:r w:rsidR="00AA0AFD" w:rsidRPr="00032CF3">
              <w:rPr>
                <w:rFonts w:cs="Arial"/>
                <w:color w:val="000000" w:themeColor="text1"/>
                <w:szCs w:val="24"/>
              </w:rPr>
              <w:t xml:space="preserve"> (4.2)</w:t>
            </w:r>
          </w:p>
        </w:tc>
        <w:tc>
          <w:tcPr>
            <w:tcW w:w="1418" w:type="dxa"/>
          </w:tcPr>
          <w:p w14:paraId="527B9A2D" w14:textId="77777777" w:rsidR="00936F28" w:rsidRPr="00032CF3" w:rsidRDefault="00936F28" w:rsidP="00EB1A49">
            <w:pPr>
              <w:rPr>
                <w:rFonts w:cs="Arial"/>
                <w:color w:val="000000" w:themeColor="text1"/>
                <w:szCs w:val="24"/>
              </w:rPr>
            </w:pPr>
          </w:p>
        </w:tc>
      </w:tr>
      <w:bookmarkEnd w:id="55"/>
    </w:tbl>
    <w:p w14:paraId="45B38BC3" w14:textId="77777777" w:rsidR="00580CCC" w:rsidRPr="00032CF3" w:rsidRDefault="00580CCC" w:rsidP="00F34366">
      <w:pPr>
        <w:rPr>
          <w:rFonts w:cs="Arial"/>
          <w:szCs w:val="24"/>
        </w:rPr>
      </w:pPr>
      <w:r w:rsidRPr="00032CF3">
        <w:rPr>
          <w:rFonts w:cs="Arial"/>
          <w:szCs w:val="24"/>
        </w:rPr>
        <w:br w:type="page"/>
      </w:r>
    </w:p>
    <w:p w14:paraId="14058F49" w14:textId="77777777" w:rsidR="00C62FAD" w:rsidRPr="005A3136" w:rsidRDefault="00BA1F88" w:rsidP="008706E7">
      <w:pPr>
        <w:pStyle w:val="Heading1"/>
        <w:numPr>
          <w:ilvl w:val="0"/>
          <w:numId w:val="35"/>
        </w:numPr>
        <w:ind w:left="567" w:hanging="567"/>
        <w:rPr>
          <w:rFonts w:cs="Arial"/>
          <w:color w:val="808080" w:themeColor="background1" w:themeShade="80"/>
        </w:rPr>
      </w:pPr>
      <w:bookmarkStart w:id="56" w:name="_Toc10223075"/>
      <w:r w:rsidRPr="005A3136">
        <w:rPr>
          <w:rFonts w:cs="Arial"/>
          <w:color w:val="808080" w:themeColor="background1" w:themeShade="80"/>
        </w:rPr>
        <w:lastRenderedPageBreak/>
        <w:t>Journey 2 – Individual Care Across Geographical LHCR Boundaries</w:t>
      </w:r>
      <w:bookmarkEnd w:id="56"/>
    </w:p>
    <w:p w14:paraId="34569606" w14:textId="77777777" w:rsidR="00C62FAD" w:rsidRPr="005A3136" w:rsidRDefault="00C62FAD" w:rsidP="00C62FAD">
      <w:pPr>
        <w:rPr>
          <w:rFonts w:cs="Arial"/>
          <w:b/>
          <w:color w:val="808080" w:themeColor="background1" w:themeShade="80"/>
          <w:szCs w:val="24"/>
        </w:rPr>
      </w:pPr>
      <w:r w:rsidRPr="005A3136">
        <w:rPr>
          <w:rFonts w:cs="Arial"/>
          <w:b/>
          <w:color w:val="808080" w:themeColor="background1" w:themeShade="80"/>
          <w:szCs w:val="24"/>
        </w:rPr>
        <w:t>Introduction</w:t>
      </w:r>
    </w:p>
    <w:p w14:paraId="78C627FD" w14:textId="77777777" w:rsidR="003578B5" w:rsidRPr="005A3136" w:rsidRDefault="003578B5" w:rsidP="003578B5">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Where relationships already exist with neighbouring LHCRs, i.e. known shared clinics, established patient flows, etc, then information sharing arrangements should be developed similar to intra LHCR sharing (journey 1). </w:t>
      </w:r>
    </w:p>
    <w:p w14:paraId="64F8FD82" w14:textId="77777777" w:rsidR="00593D5C" w:rsidRPr="005A3136" w:rsidRDefault="00593D5C" w:rsidP="00646912">
      <w:pPr>
        <w:spacing w:before="0" w:after="0" w:line="276" w:lineRule="auto"/>
        <w:jc w:val="both"/>
        <w:rPr>
          <w:rFonts w:cs="Arial"/>
          <w:color w:val="808080" w:themeColor="background1" w:themeShade="80"/>
          <w:szCs w:val="24"/>
        </w:rPr>
      </w:pPr>
    </w:p>
    <w:p w14:paraId="3F2253F2" w14:textId="77777777" w:rsidR="00593D5C" w:rsidRPr="005A3136" w:rsidRDefault="00593D5C">
      <w:pPr>
        <w:autoSpaceDE w:val="0"/>
        <w:autoSpaceDN w:val="0"/>
        <w:adjustRightInd w:val="0"/>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There may also be circumstances for ad hoc information sharing. In such circumstances, professional judgement needs to be exercised and an awareness of </w:t>
      </w:r>
      <w:r w:rsidRPr="005A3136">
        <w:rPr>
          <w:rFonts w:eastAsiaTheme="minorHAnsi" w:cs="Arial"/>
          <w:bCs w:val="0"/>
          <w:color w:val="808080" w:themeColor="background1" w:themeShade="80"/>
          <w:szCs w:val="24"/>
        </w:rPr>
        <w:t xml:space="preserve">professional guidance or ethical rules that are likely to be relevant to the type of decisions about </w:t>
      </w:r>
      <w:r w:rsidR="00624CC0" w:rsidRPr="005A3136">
        <w:rPr>
          <w:rFonts w:eastAsiaTheme="minorHAnsi" w:cs="Arial"/>
          <w:bCs w:val="0"/>
          <w:color w:val="808080" w:themeColor="background1" w:themeShade="80"/>
          <w:szCs w:val="24"/>
        </w:rPr>
        <w:t>information sharing across care settings</w:t>
      </w:r>
      <w:r w:rsidRPr="005A3136">
        <w:rPr>
          <w:rFonts w:eastAsiaTheme="minorHAnsi" w:cs="Arial"/>
          <w:bCs w:val="0"/>
          <w:color w:val="808080" w:themeColor="background1" w:themeShade="80"/>
          <w:szCs w:val="24"/>
        </w:rPr>
        <w:t>.  T</w:t>
      </w:r>
      <w:r w:rsidRPr="005A3136">
        <w:rPr>
          <w:rFonts w:cs="Arial"/>
          <w:color w:val="808080" w:themeColor="background1" w:themeShade="80"/>
          <w:szCs w:val="24"/>
        </w:rPr>
        <w:t>he ICO data sharing code of practice</w:t>
      </w:r>
      <w:r w:rsidRPr="005A3136">
        <w:rPr>
          <w:rStyle w:val="FootnoteReference"/>
          <w:rFonts w:cs="Arial"/>
          <w:color w:val="808080" w:themeColor="background1" w:themeShade="80"/>
          <w:szCs w:val="24"/>
        </w:rPr>
        <w:footnoteReference w:id="12"/>
      </w:r>
      <w:r w:rsidRPr="005A3136">
        <w:rPr>
          <w:rFonts w:cs="Arial"/>
          <w:color w:val="808080" w:themeColor="background1" w:themeShade="80"/>
          <w:szCs w:val="24"/>
        </w:rPr>
        <w:t xml:space="preserve"> provides information for such circumstances. </w:t>
      </w:r>
    </w:p>
    <w:p w14:paraId="22FB3E16" w14:textId="77777777" w:rsidR="00593D5C" w:rsidRPr="005A3136" w:rsidRDefault="00593D5C">
      <w:pPr>
        <w:autoSpaceDE w:val="0"/>
        <w:autoSpaceDN w:val="0"/>
        <w:adjustRightInd w:val="0"/>
        <w:spacing w:before="0" w:after="0" w:line="276" w:lineRule="auto"/>
        <w:jc w:val="both"/>
        <w:rPr>
          <w:rFonts w:cs="Arial"/>
          <w:color w:val="808080" w:themeColor="background1" w:themeShade="80"/>
          <w:szCs w:val="24"/>
        </w:rPr>
      </w:pPr>
    </w:p>
    <w:p w14:paraId="1B899D4C" w14:textId="77777777" w:rsidR="000F63D5" w:rsidRPr="005A3136" w:rsidRDefault="000F63D5" w:rsidP="000F63D5">
      <w:pPr>
        <w:autoSpaceDE w:val="0"/>
        <w:autoSpaceDN w:val="0"/>
        <w:adjustRightInd w:val="0"/>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It is important that information is available at the point of care for a patient. A requirement of LHCRs is that there is the ability to share information with other LHCRs through common and open interfaces subject to agreed access control arrangements, including the logging of all such accesses.  Having a common standard core of information regardless of the means of implementation will be fundamental to ensure that a LHCR record is safely and securely transferable between LHCR</w:t>
      </w:r>
      <w:r w:rsidR="00FA6A50" w:rsidRPr="005A3136">
        <w:rPr>
          <w:rFonts w:cs="Arial"/>
          <w:color w:val="808080" w:themeColor="background1" w:themeShade="80"/>
          <w:szCs w:val="24"/>
        </w:rPr>
        <w:t>s</w:t>
      </w:r>
      <w:r w:rsidRPr="005A3136">
        <w:rPr>
          <w:rFonts w:cs="Arial"/>
          <w:color w:val="808080" w:themeColor="background1" w:themeShade="80"/>
          <w:szCs w:val="24"/>
        </w:rPr>
        <w:t>, as and when patients move between them. The P</w:t>
      </w:r>
      <w:r w:rsidR="00672CE9" w:rsidRPr="005A3136">
        <w:rPr>
          <w:rFonts w:cs="Arial"/>
          <w:color w:val="808080" w:themeColor="background1" w:themeShade="80"/>
          <w:szCs w:val="24"/>
        </w:rPr>
        <w:t xml:space="preserve">rofessional </w:t>
      </w:r>
      <w:r w:rsidRPr="005A3136">
        <w:rPr>
          <w:rFonts w:cs="Arial"/>
          <w:color w:val="808080" w:themeColor="background1" w:themeShade="80"/>
          <w:szCs w:val="24"/>
        </w:rPr>
        <w:t>R</w:t>
      </w:r>
      <w:r w:rsidR="00672CE9" w:rsidRPr="005A3136">
        <w:rPr>
          <w:rFonts w:cs="Arial"/>
          <w:color w:val="808080" w:themeColor="background1" w:themeShade="80"/>
          <w:szCs w:val="24"/>
        </w:rPr>
        <w:t xml:space="preserve">ecords </w:t>
      </w:r>
      <w:r w:rsidRPr="005A3136">
        <w:rPr>
          <w:rFonts w:cs="Arial"/>
          <w:color w:val="808080" w:themeColor="background1" w:themeShade="80"/>
          <w:szCs w:val="24"/>
        </w:rPr>
        <w:t>S</w:t>
      </w:r>
      <w:r w:rsidR="00672CE9" w:rsidRPr="005A3136">
        <w:rPr>
          <w:rFonts w:cs="Arial"/>
          <w:color w:val="808080" w:themeColor="background1" w:themeShade="80"/>
          <w:szCs w:val="24"/>
        </w:rPr>
        <w:t xml:space="preserve">tandard </w:t>
      </w:r>
      <w:r w:rsidRPr="005A3136">
        <w:rPr>
          <w:rFonts w:cs="Arial"/>
          <w:color w:val="808080" w:themeColor="background1" w:themeShade="80"/>
          <w:szCs w:val="24"/>
        </w:rPr>
        <w:t>B</w:t>
      </w:r>
      <w:r w:rsidR="00672CE9" w:rsidRPr="005A3136">
        <w:rPr>
          <w:rFonts w:cs="Arial"/>
          <w:color w:val="808080" w:themeColor="background1" w:themeShade="80"/>
          <w:szCs w:val="24"/>
        </w:rPr>
        <w:t>ody</w:t>
      </w:r>
      <w:r w:rsidRPr="005A3136">
        <w:rPr>
          <w:rFonts w:cs="Arial"/>
          <w:color w:val="808080" w:themeColor="background1" w:themeShade="80"/>
          <w:szCs w:val="24"/>
        </w:rPr>
        <w:t xml:space="preserve"> is developing this core record through engagement with health and care professions and patient.  </w:t>
      </w:r>
    </w:p>
    <w:p w14:paraId="09643525" w14:textId="77777777" w:rsidR="000F63D5" w:rsidRPr="005A3136" w:rsidRDefault="000F63D5" w:rsidP="000F63D5">
      <w:pPr>
        <w:autoSpaceDE w:val="0"/>
        <w:autoSpaceDN w:val="0"/>
        <w:adjustRightInd w:val="0"/>
        <w:spacing w:before="0" w:after="0" w:line="276" w:lineRule="auto"/>
        <w:jc w:val="both"/>
        <w:rPr>
          <w:rFonts w:cs="Arial"/>
          <w:color w:val="808080" w:themeColor="background1" w:themeShade="80"/>
          <w:szCs w:val="24"/>
        </w:rPr>
      </w:pPr>
    </w:p>
    <w:p w14:paraId="64577952" w14:textId="77777777" w:rsidR="000F63D5" w:rsidRDefault="000F63D5" w:rsidP="000F63D5">
      <w:pPr>
        <w:autoSpaceDE w:val="0"/>
        <w:autoSpaceDN w:val="0"/>
        <w:adjustRightInd w:val="0"/>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In terms of the information governance, Journey 2 of the IG framework covers individual care across geographical LHCR boundaries.  Where relationships exist with neighbouring LHCRs i.e. known shared clinics, established data flows etc. then information sharing arrangements should be developed similar to intra LHCR sharing. Information will be added in due course to provide further about sharing the LHCR </w:t>
      </w:r>
      <w:r w:rsidR="00672CE9" w:rsidRPr="005A3136">
        <w:rPr>
          <w:rFonts w:cs="Arial"/>
          <w:color w:val="808080" w:themeColor="background1" w:themeShade="80"/>
          <w:szCs w:val="24"/>
        </w:rPr>
        <w:t xml:space="preserve">core </w:t>
      </w:r>
      <w:r w:rsidRPr="005A3136">
        <w:rPr>
          <w:rFonts w:cs="Arial"/>
          <w:color w:val="808080" w:themeColor="background1" w:themeShade="80"/>
          <w:szCs w:val="24"/>
        </w:rPr>
        <w:t xml:space="preserve">record between LHCR areas. </w:t>
      </w:r>
    </w:p>
    <w:p w14:paraId="0AD6376D" w14:textId="5BFE7D7A" w:rsidR="00636CBD" w:rsidRPr="00427364" w:rsidRDefault="00636CBD" w:rsidP="000F63D5">
      <w:pPr>
        <w:autoSpaceDE w:val="0"/>
        <w:autoSpaceDN w:val="0"/>
        <w:adjustRightInd w:val="0"/>
        <w:spacing w:before="0" w:after="0" w:line="276" w:lineRule="auto"/>
        <w:jc w:val="both"/>
        <w:rPr>
          <w:rFonts w:cs="Arial"/>
          <w:color w:val="808080" w:themeColor="background1" w:themeShade="80"/>
          <w:szCs w:val="24"/>
        </w:rPr>
      </w:pPr>
    </w:p>
    <w:p w14:paraId="04569A57" w14:textId="77777777" w:rsidR="008E503B" w:rsidRPr="00427364" w:rsidRDefault="008E503B" w:rsidP="008E503B">
      <w:pPr>
        <w:rPr>
          <w:rFonts w:ascii="Calibri" w:hAnsi="Calibri"/>
          <w:b/>
          <w:bCs w:val="0"/>
          <w:color w:val="808080" w:themeColor="background1" w:themeShade="80"/>
          <w:sz w:val="22"/>
          <w:szCs w:val="22"/>
        </w:rPr>
      </w:pPr>
      <w:r w:rsidRPr="00427364">
        <w:rPr>
          <w:b/>
          <w:color w:val="808080" w:themeColor="background1" w:themeShade="80"/>
        </w:rPr>
        <w:t>Discovery of data about a patient</w:t>
      </w:r>
    </w:p>
    <w:p w14:paraId="096BB9CD" w14:textId="77777777" w:rsidR="008E503B" w:rsidRPr="00427364" w:rsidRDefault="008E503B" w:rsidP="008E503B">
      <w:pPr>
        <w:jc w:val="both"/>
        <w:rPr>
          <w:rFonts w:cs="Arial"/>
          <w:color w:val="808080" w:themeColor="background1" w:themeShade="80"/>
          <w:szCs w:val="24"/>
        </w:rPr>
      </w:pPr>
      <w:r w:rsidRPr="00427364">
        <w:rPr>
          <w:rFonts w:cs="Arial"/>
          <w:color w:val="808080" w:themeColor="background1" w:themeShade="80"/>
          <w:szCs w:val="24"/>
        </w:rPr>
        <w:t>Where a person receives care at a venue outside of their home LHCR there is a need to discover where data is held so the data can be retrieved. The intent is for the following capabilities to support the discovery of the location of data for Journey 2:</w:t>
      </w:r>
    </w:p>
    <w:p w14:paraId="04C397D0" w14:textId="77777777" w:rsidR="008E503B" w:rsidRPr="00427364" w:rsidRDefault="008E503B" w:rsidP="008E503B">
      <w:pPr>
        <w:jc w:val="both"/>
        <w:rPr>
          <w:rFonts w:cs="Arial"/>
          <w:color w:val="808080" w:themeColor="background1" w:themeShade="80"/>
          <w:szCs w:val="24"/>
        </w:rPr>
      </w:pPr>
    </w:p>
    <w:p w14:paraId="5EA3ABBA" w14:textId="77777777" w:rsidR="008E503B" w:rsidRPr="00427364" w:rsidRDefault="008E503B" w:rsidP="008E503B">
      <w:pPr>
        <w:pStyle w:val="ListParagraph"/>
        <w:numPr>
          <w:ilvl w:val="0"/>
          <w:numId w:val="52"/>
        </w:numPr>
        <w:tabs>
          <w:tab w:val="clear" w:pos="4890"/>
        </w:tabs>
        <w:spacing w:before="0" w:after="0" w:line="240" w:lineRule="auto"/>
        <w:contextualSpacing w:val="0"/>
        <w:rPr>
          <w:rFonts w:ascii="Arial" w:eastAsia="Times New Roman" w:hAnsi="Arial"/>
          <w:color w:val="808080" w:themeColor="background1" w:themeShade="80"/>
          <w:sz w:val="24"/>
          <w:szCs w:val="24"/>
        </w:rPr>
      </w:pPr>
      <w:r w:rsidRPr="00427364">
        <w:rPr>
          <w:rFonts w:ascii="Arial" w:eastAsia="Times New Roman" w:hAnsi="Arial"/>
          <w:color w:val="808080" w:themeColor="background1" w:themeShade="80"/>
          <w:sz w:val="24"/>
          <w:szCs w:val="24"/>
        </w:rPr>
        <w:t>PDS - to hold LHCR of Record and provide an API that returns both a person’s NHS Number and LHCR of Record</w:t>
      </w:r>
    </w:p>
    <w:p w14:paraId="47FFDC01" w14:textId="77777777" w:rsidR="008E503B" w:rsidRPr="00427364" w:rsidRDefault="008E503B" w:rsidP="008E503B">
      <w:pPr>
        <w:pStyle w:val="ListParagraph"/>
        <w:numPr>
          <w:ilvl w:val="0"/>
          <w:numId w:val="52"/>
        </w:numPr>
        <w:tabs>
          <w:tab w:val="clear" w:pos="4890"/>
        </w:tabs>
        <w:spacing w:before="0" w:after="0" w:line="240" w:lineRule="auto"/>
        <w:contextualSpacing w:val="0"/>
        <w:rPr>
          <w:rFonts w:ascii="Arial" w:eastAsia="Times New Roman" w:hAnsi="Arial"/>
          <w:color w:val="808080" w:themeColor="background1" w:themeShade="80"/>
          <w:sz w:val="24"/>
          <w:szCs w:val="24"/>
        </w:rPr>
      </w:pPr>
      <w:r w:rsidRPr="00427364">
        <w:rPr>
          <w:rFonts w:ascii="Arial" w:eastAsia="Times New Roman" w:hAnsi="Arial"/>
          <w:color w:val="808080" w:themeColor="background1" w:themeShade="80"/>
          <w:sz w:val="24"/>
          <w:szCs w:val="24"/>
        </w:rPr>
        <w:t>NRLS – to hold pointers to data published by non-LHCR areas and pointers published by LHCRs</w:t>
      </w:r>
    </w:p>
    <w:p w14:paraId="3DA7FF9C" w14:textId="77777777" w:rsidR="008E503B" w:rsidRPr="00427364" w:rsidRDefault="008E503B" w:rsidP="008E503B">
      <w:pPr>
        <w:pStyle w:val="ListParagraph"/>
        <w:numPr>
          <w:ilvl w:val="0"/>
          <w:numId w:val="52"/>
        </w:numPr>
        <w:tabs>
          <w:tab w:val="clear" w:pos="4890"/>
        </w:tabs>
        <w:spacing w:before="0" w:after="0" w:line="240" w:lineRule="auto"/>
        <w:contextualSpacing w:val="0"/>
        <w:rPr>
          <w:rFonts w:ascii="Arial" w:eastAsia="Times New Roman" w:hAnsi="Arial"/>
          <w:color w:val="808080" w:themeColor="background1" w:themeShade="80"/>
          <w:sz w:val="24"/>
          <w:szCs w:val="24"/>
        </w:rPr>
      </w:pPr>
      <w:r w:rsidRPr="00427364">
        <w:rPr>
          <w:rFonts w:ascii="Arial" w:eastAsia="Times New Roman" w:hAnsi="Arial"/>
          <w:color w:val="808080" w:themeColor="background1" w:themeShade="80"/>
          <w:sz w:val="24"/>
          <w:szCs w:val="24"/>
        </w:rPr>
        <w:t xml:space="preserve">LHCR APIs – to enable retrieval of data subject to authentication and authorisation </w:t>
      </w:r>
    </w:p>
    <w:p w14:paraId="5E631D34" w14:textId="77777777" w:rsidR="00FC3B6C" w:rsidRPr="00427364" w:rsidRDefault="00FC3B6C" w:rsidP="000F63D5">
      <w:pPr>
        <w:autoSpaceDE w:val="0"/>
        <w:autoSpaceDN w:val="0"/>
        <w:adjustRightInd w:val="0"/>
        <w:spacing w:before="0" w:after="0" w:line="276" w:lineRule="auto"/>
        <w:jc w:val="both"/>
        <w:rPr>
          <w:rFonts w:cs="Arial"/>
          <w:color w:val="808080" w:themeColor="background1" w:themeShade="80"/>
          <w:szCs w:val="24"/>
        </w:rPr>
      </w:pPr>
    </w:p>
    <w:p w14:paraId="28DE01A2" w14:textId="77777777" w:rsidR="00AC6952" w:rsidRDefault="00AC6952">
      <w:pPr>
        <w:spacing w:before="0" w:after="160" w:line="259" w:lineRule="auto"/>
        <w:rPr>
          <w:rFonts w:cs="Arial"/>
          <w:b/>
          <w:color w:val="808080" w:themeColor="background1" w:themeShade="80"/>
          <w:szCs w:val="24"/>
        </w:rPr>
      </w:pPr>
      <w:r>
        <w:rPr>
          <w:rFonts w:cs="Arial"/>
          <w:b/>
          <w:color w:val="808080" w:themeColor="background1" w:themeShade="80"/>
          <w:szCs w:val="24"/>
        </w:rPr>
        <w:br w:type="page"/>
      </w:r>
    </w:p>
    <w:p w14:paraId="7185988F" w14:textId="2ACD8116" w:rsidR="00427364" w:rsidRPr="00427364" w:rsidRDefault="00427364" w:rsidP="00255D64">
      <w:pPr>
        <w:rPr>
          <w:rFonts w:cs="Arial"/>
          <w:b/>
          <w:color w:val="808080" w:themeColor="background1" w:themeShade="80"/>
          <w:szCs w:val="24"/>
        </w:rPr>
      </w:pPr>
      <w:r w:rsidRPr="00427364">
        <w:rPr>
          <w:rFonts w:cs="Arial"/>
          <w:b/>
          <w:color w:val="808080" w:themeColor="background1" w:themeShade="80"/>
          <w:szCs w:val="24"/>
        </w:rPr>
        <w:t>Example Tasklist (not exhaustive)</w:t>
      </w:r>
      <w:r w:rsidRPr="00427364" w:rsidDel="00812A15">
        <w:rPr>
          <w:rFonts w:cs="Arial"/>
          <w:b/>
          <w:color w:val="808080" w:themeColor="background1" w:themeShade="80"/>
          <w:szCs w:val="24"/>
        </w:rPr>
        <w:t xml:space="preserve"> </w:t>
      </w:r>
      <w:r w:rsidRPr="00427364">
        <w:rPr>
          <w:rFonts w:cs="Arial"/>
          <w:b/>
          <w:color w:val="808080" w:themeColor="background1" w:themeShade="80"/>
          <w:szCs w:val="24"/>
        </w:rPr>
        <w:t xml:space="preserve"> </w:t>
      </w:r>
    </w:p>
    <w:p w14:paraId="2D3A984B" w14:textId="77777777" w:rsidR="00427364" w:rsidRPr="00427364" w:rsidRDefault="00427364" w:rsidP="00427364">
      <w:pPr>
        <w:rPr>
          <w:rFonts w:cs="Arial"/>
          <w:color w:val="808080" w:themeColor="background1" w:themeShade="80"/>
          <w:szCs w:val="24"/>
        </w:rPr>
      </w:pPr>
      <w:r w:rsidRPr="00427364">
        <w:rPr>
          <w:rFonts w:cs="Arial"/>
          <w:color w:val="808080" w:themeColor="background1" w:themeShade="80"/>
          <w:szCs w:val="24"/>
        </w:rPr>
        <w:t>By completing this tasklist, this will help GDPR Art. 30 requirements for ROPA.</w:t>
      </w:r>
    </w:p>
    <w:tbl>
      <w:tblPr>
        <w:tblStyle w:val="TableElegant"/>
        <w:tblW w:w="10060" w:type="dxa"/>
        <w:tblLook w:val="04A0" w:firstRow="1" w:lastRow="0" w:firstColumn="1" w:lastColumn="0" w:noHBand="0" w:noVBand="1"/>
      </w:tblPr>
      <w:tblGrid>
        <w:gridCol w:w="662"/>
        <w:gridCol w:w="5045"/>
        <w:gridCol w:w="2803"/>
        <w:gridCol w:w="1550"/>
      </w:tblGrid>
      <w:tr w:rsidR="00741463" w:rsidRPr="005A3136" w14:paraId="4EFD0936" w14:textId="77777777" w:rsidTr="00741463">
        <w:trPr>
          <w:cnfStyle w:val="100000000000" w:firstRow="1" w:lastRow="0" w:firstColumn="0" w:lastColumn="0" w:oddVBand="0" w:evenVBand="0" w:oddHBand="0" w:evenHBand="0" w:firstRowFirstColumn="0" w:firstRowLastColumn="0" w:lastRowFirstColumn="0" w:lastRowLastColumn="0"/>
        </w:trPr>
        <w:tc>
          <w:tcPr>
            <w:tcW w:w="698" w:type="dxa"/>
          </w:tcPr>
          <w:p w14:paraId="7847C158" w14:textId="77777777" w:rsidR="00741463" w:rsidRPr="005A3136" w:rsidRDefault="00741463" w:rsidP="00566EDA">
            <w:pPr>
              <w:rPr>
                <w:rFonts w:cs="Arial"/>
                <w:b/>
                <w:color w:val="808080" w:themeColor="background1" w:themeShade="80"/>
                <w:szCs w:val="24"/>
              </w:rPr>
            </w:pPr>
          </w:p>
        </w:tc>
        <w:tc>
          <w:tcPr>
            <w:tcW w:w="5450" w:type="dxa"/>
          </w:tcPr>
          <w:p w14:paraId="73D14214"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Task</w:t>
            </w:r>
          </w:p>
        </w:tc>
        <w:tc>
          <w:tcPr>
            <w:tcW w:w="2494" w:type="dxa"/>
          </w:tcPr>
          <w:p w14:paraId="3DE0F5DF"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Tools and Template/Appendix</w:t>
            </w:r>
          </w:p>
        </w:tc>
        <w:tc>
          <w:tcPr>
            <w:tcW w:w="1418" w:type="dxa"/>
          </w:tcPr>
          <w:p w14:paraId="7A45488C"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Complete</w:t>
            </w:r>
          </w:p>
        </w:tc>
      </w:tr>
      <w:tr w:rsidR="00741463" w:rsidRPr="005A3136" w14:paraId="43C6AED5" w14:textId="77777777" w:rsidTr="00741463">
        <w:tc>
          <w:tcPr>
            <w:tcW w:w="698" w:type="dxa"/>
          </w:tcPr>
          <w:p w14:paraId="5C573B40"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lastRenderedPageBreak/>
              <w:t>1</w:t>
            </w:r>
          </w:p>
        </w:tc>
        <w:tc>
          <w:tcPr>
            <w:tcW w:w="5450" w:type="dxa"/>
          </w:tcPr>
          <w:p w14:paraId="1988EFE7"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Describe your care system’s structure</w:t>
            </w:r>
          </w:p>
        </w:tc>
        <w:tc>
          <w:tcPr>
            <w:tcW w:w="2494" w:type="dxa"/>
          </w:tcPr>
          <w:p w14:paraId="356828BE"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(4.1)</w:t>
            </w:r>
          </w:p>
        </w:tc>
        <w:tc>
          <w:tcPr>
            <w:tcW w:w="1418" w:type="dxa"/>
          </w:tcPr>
          <w:p w14:paraId="77EFC0DC" w14:textId="77777777" w:rsidR="00741463" w:rsidRPr="005A3136" w:rsidRDefault="00741463" w:rsidP="00566EDA">
            <w:pPr>
              <w:rPr>
                <w:rFonts w:cs="Arial"/>
                <w:color w:val="808080" w:themeColor="background1" w:themeShade="80"/>
                <w:szCs w:val="24"/>
              </w:rPr>
            </w:pPr>
          </w:p>
        </w:tc>
      </w:tr>
      <w:tr w:rsidR="00741463" w:rsidRPr="005A3136" w14:paraId="12CE3E97" w14:textId="77777777" w:rsidTr="00741463">
        <w:tc>
          <w:tcPr>
            <w:tcW w:w="698" w:type="dxa"/>
          </w:tcPr>
          <w:p w14:paraId="382E0569"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2</w:t>
            </w:r>
          </w:p>
        </w:tc>
        <w:tc>
          <w:tcPr>
            <w:tcW w:w="5450" w:type="dxa"/>
          </w:tcPr>
          <w:p w14:paraId="5892536D"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Define how your care system will govern data use</w:t>
            </w:r>
          </w:p>
        </w:tc>
        <w:tc>
          <w:tcPr>
            <w:tcW w:w="2494" w:type="dxa"/>
          </w:tcPr>
          <w:p w14:paraId="009764FA"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C</w:t>
            </w:r>
          </w:p>
          <w:p w14:paraId="4B097F45"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(2.1)</w:t>
            </w:r>
          </w:p>
        </w:tc>
        <w:tc>
          <w:tcPr>
            <w:tcW w:w="1418" w:type="dxa"/>
          </w:tcPr>
          <w:p w14:paraId="4664599A" w14:textId="77777777" w:rsidR="00741463" w:rsidRPr="005A3136" w:rsidRDefault="00741463" w:rsidP="00566EDA">
            <w:pPr>
              <w:rPr>
                <w:rFonts w:cs="Arial"/>
                <w:color w:val="808080" w:themeColor="background1" w:themeShade="80"/>
                <w:szCs w:val="24"/>
              </w:rPr>
            </w:pPr>
          </w:p>
        </w:tc>
      </w:tr>
      <w:tr w:rsidR="00741463" w:rsidRPr="005A3136" w14:paraId="569AD954" w14:textId="77777777" w:rsidTr="00741463">
        <w:tc>
          <w:tcPr>
            <w:tcW w:w="698" w:type="dxa"/>
          </w:tcPr>
          <w:p w14:paraId="0D43F1F0"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3</w:t>
            </w:r>
          </w:p>
        </w:tc>
        <w:tc>
          <w:tcPr>
            <w:tcW w:w="5450" w:type="dxa"/>
          </w:tcPr>
          <w:p w14:paraId="02A537D1"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Identify the lawful basis for your data sharing activities and allocate them</w:t>
            </w:r>
          </w:p>
        </w:tc>
        <w:tc>
          <w:tcPr>
            <w:tcW w:w="2494" w:type="dxa"/>
          </w:tcPr>
          <w:p w14:paraId="175B062C"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(4.2)</w:t>
            </w:r>
          </w:p>
        </w:tc>
        <w:tc>
          <w:tcPr>
            <w:tcW w:w="1418" w:type="dxa"/>
          </w:tcPr>
          <w:p w14:paraId="1A089723" w14:textId="77777777" w:rsidR="00741463" w:rsidRPr="005A3136" w:rsidRDefault="00741463" w:rsidP="00566EDA">
            <w:pPr>
              <w:rPr>
                <w:rFonts w:cs="Arial"/>
                <w:color w:val="808080" w:themeColor="background1" w:themeShade="80"/>
                <w:szCs w:val="24"/>
              </w:rPr>
            </w:pPr>
          </w:p>
        </w:tc>
      </w:tr>
      <w:tr w:rsidR="00741463" w:rsidRPr="005A3136" w14:paraId="7265FE06" w14:textId="77777777" w:rsidTr="00741463">
        <w:tc>
          <w:tcPr>
            <w:tcW w:w="698" w:type="dxa"/>
          </w:tcPr>
          <w:p w14:paraId="0D904D86"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4</w:t>
            </w:r>
          </w:p>
        </w:tc>
        <w:tc>
          <w:tcPr>
            <w:tcW w:w="5450" w:type="dxa"/>
          </w:tcPr>
          <w:p w14:paraId="73FAD7A2"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Understand what data you require</w:t>
            </w:r>
          </w:p>
        </w:tc>
        <w:tc>
          <w:tcPr>
            <w:tcW w:w="2494" w:type="dxa"/>
          </w:tcPr>
          <w:p w14:paraId="792F4667"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Tbc – data mapping</w:t>
            </w:r>
          </w:p>
        </w:tc>
        <w:tc>
          <w:tcPr>
            <w:tcW w:w="1418" w:type="dxa"/>
          </w:tcPr>
          <w:p w14:paraId="25ACD4A1" w14:textId="77777777" w:rsidR="00741463" w:rsidRPr="005A3136" w:rsidRDefault="00741463" w:rsidP="00566EDA">
            <w:pPr>
              <w:rPr>
                <w:rFonts w:cs="Arial"/>
                <w:color w:val="808080" w:themeColor="background1" w:themeShade="80"/>
                <w:szCs w:val="24"/>
              </w:rPr>
            </w:pPr>
          </w:p>
        </w:tc>
      </w:tr>
      <w:tr w:rsidR="00741463" w:rsidRPr="005A3136" w14:paraId="42A5AD8D" w14:textId="77777777" w:rsidTr="00741463">
        <w:tc>
          <w:tcPr>
            <w:tcW w:w="698" w:type="dxa"/>
          </w:tcPr>
          <w:p w14:paraId="4DCF2EB4"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5</w:t>
            </w:r>
          </w:p>
        </w:tc>
        <w:tc>
          <w:tcPr>
            <w:tcW w:w="5450" w:type="dxa"/>
          </w:tcPr>
          <w:p w14:paraId="203F996B"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Demonstrate how you will protect the data  </w:t>
            </w:r>
          </w:p>
        </w:tc>
        <w:tc>
          <w:tcPr>
            <w:tcW w:w="2494" w:type="dxa"/>
          </w:tcPr>
          <w:p w14:paraId="42ED522C"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(4.5)</w:t>
            </w:r>
          </w:p>
        </w:tc>
        <w:tc>
          <w:tcPr>
            <w:tcW w:w="1418" w:type="dxa"/>
          </w:tcPr>
          <w:p w14:paraId="25763395" w14:textId="77777777" w:rsidR="00741463" w:rsidRPr="005A3136" w:rsidRDefault="00741463" w:rsidP="00566EDA">
            <w:pPr>
              <w:rPr>
                <w:rFonts w:cs="Arial"/>
                <w:color w:val="808080" w:themeColor="background1" w:themeShade="80"/>
                <w:szCs w:val="24"/>
              </w:rPr>
            </w:pPr>
          </w:p>
        </w:tc>
      </w:tr>
      <w:tr w:rsidR="00741463" w:rsidRPr="005A3136" w14:paraId="3AAEBEDD" w14:textId="77777777" w:rsidTr="00741463">
        <w:tc>
          <w:tcPr>
            <w:tcW w:w="698" w:type="dxa"/>
          </w:tcPr>
          <w:p w14:paraId="68FFCC91"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6</w:t>
            </w:r>
          </w:p>
        </w:tc>
        <w:tc>
          <w:tcPr>
            <w:tcW w:w="5450" w:type="dxa"/>
          </w:tcPr>
          <w:p w14:paraId="3857C86B"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Ensure appropriate contracts and agreements are in place  </w:t>
            </w:r>
          </w:p>
        </w:tc>
        <w:tc>
          <w:tcPr>
            <w:tcW w:w="2494" w:type="dxa"/>
          </w:tcPr>
          <w:p w14:paraId="1AB0805F"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(4.3)</w:t>
            </w:r>
          </w:p>
        </w:tc>
        <w:tc>
          <w:tcPr>
            <w:tcW w:w="1418" w:type="dxa"/>
          </w:tcPr>
          <w:p w14:paraId="00398BA4" w14:textId="77777777" w:rsidR="00741463" w:rsidRPr="005A3136" w:rsidRDefault="00741463" w:rsidP="00566EDA">
            <w:pPr>
              <w:rPr>
                <w:rFonts w:cs="Arial"/>
                <w:color w:val="808080" w:themeColor="background1" w:themeShade="80"/>
                <w:szCs w:val="24"/>
              </w:rPr>
            </w:pPr>
          </w:p>
        </w:tc>
      </w:tr>
      <w:tr w:rsidR="00741463" w:rsidRPr="005A3136" w14:paraId="0902A7E2" w14:textId="77777777" w:rsidTr="00741463">
        <w:tc>
          <w:tcPr>
            <w:tcW w:w="698" w:type="dxa"/>
          </w:tcPr>
          <w:p w14:paraId="5CDCE52C"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7</w:t>
            </w:r>
          </w:p>
        </w:tc>
        <w:tc>
          <w:tcPr>
            <w:tcW w:w="5450" w:type="dxa"/>
          </w:tcPr>
          <w:p w14:paraId="2150BCC0"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Assure your population that processing is fair and transparent  </w:t>
            </w:r>
          </w:p>
        </w:tc>
        <w:tc>
          <w:tcPr>
            <w:tcW w:w="2494" w:type="dxa"/>
          </w:tcPr>
          <w:p w14:paraId="3165DD94"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(4.2)</w:t>
            </w:r>
          </w:p>
        </w:tc>
        <w:tc>
          <w:tcPr>
            <w:tcW w:w="1418" w:type="dxa"/>
          </w:tcPr>
          <w:p w14:paraId="2BF249B6" w14:textId="77777777" w:rsidR="00741463" w:rsidRPr="005A3136" w:rsidRDefault="00741463" w:rsidP="00566EDA">
            <w:pPr>
              <w:rPr>
                <w:rFonts w:cs="Arial"/>
                <w:color w:val="808080" w:themeColor="background1" w:themeShade="80"/>
                <w:szCs w:val="24"/>
              </w:rPr>
            </w:pPr>
          </w:p>
        </w:tc>
      </w:tr>
    </w:tbl>
    <w:p w14:paraId="2E55FCB5" w14:textId="77777777" w:rsidR="00AC6952" w:rsidRDefault="00AC6952" w:rsidP="00AA0AFD">
      <w:pPr>
        <w:rPr>
          <w:rFonts w:cs="Arial"/>
          <w:color w:val="808080" w:themeColor="background1" w:themeShade="80"/>
          <w:szCs w:val="24"/>
        </w:rPr>
      </w:pPr>
    </w:p>
    <w:p w14:paraId="106637B4" w14:textId="0FD04632" w:rsidR="00AC6952" w:rsidRDefault="00AC6952" w:rsidP="00AA0AFD">
      <w:pPr>
        <w:rPr>
          <w:rFonts w:cs="Arial"/>
          <w:color w:val="808080" w:themeColor="background1" w:themeShade="80"/>
          <w:szCs w:val="24"/>
        </w:rPr>
      </w:pPr>
      <w:r>
        <w:rPr>
          <w:rFonts w:cs="Arial"/>
          <w:color w:val="808080" w:themeColor="background1" w:themeShade="80"/>
          <w:szCs w:val="24"/>
        </w:rPr>
        <w:t xml:space="preserve">DN </w:t>
      </w:r>
      <w:r w:rsidR="005233B5">
        <w:rPr>
          <w:rFonts w:cs="Arial"/>
          <w:color w:val="808080" w:themeColor="background1" w:themeShade="80"/>
          <w:szCs w:val="24"/>
        </w:rPr>
        <w:t>–</w:t>
      </w:r>
      <w:r>
        <w:rPr>
          <w:rFonts w:cs="Arial"/>
          <w:color w:val="808080" w:themeColor="background1" w:themeShade="80"/>
          <w:szCs w:val="24"/>
        </w:rPr>
        <w:t xml:space="preserve"> </w:t>
      </w:r>
      <w:r w:rsidR="005233B5">
        <w:rPr>
          <w:rFonts w:cs="Arial"/>
          <w:color w:val="808080" w:themeColor="background1" w:themeShade="80"/>
          <w:szCs w:val="24"/>
        </w:rPr>
        <w:t xml:space="preserve">national </w:t>
      </w:r>
      <w:r>
        <w:rPr>
          <w:rFonts w:cs="Arial"/>
          <w:color w:val="808080" w:themeColor="background1" w:themeShade="80"/>
          <w:szCs w:val="24"/>
        </w:rPr>
        <w:t xml:space="preserve">RBAC model to be </w:t>
      </w:r>
      <w:r w:rsidR="005233B5">
        <w:rPr>
          <w:rFonts w:cs="Arial"/>
          <w:color w:val="808080" w:themeColor="background1" w:themeShade="80"/>
          <w:szCs w:val="24"/>
        </w:rPr>
        <w:t>developed</w:t>
      </w:r>
      <w:r w:rsidR="00580CCC" w:rsidRPr="005A3136">
        <w:rPr>
          <w:rFonts w:cs="Arial"/>
          <w:color w:val="808080" w:themeColor="background1" w:themeShade="80"/>
          <w:szCs w:val="24"/>
        </w:rPr>
        <w:br w:type="page"/>
      </w:r>
    </w:p>
    <w:p w14:paraId="06125733" w14:textId="77777777" w:rsidR="00AC6952" w:rsidRPr="00AC6952" w:rsidRDefault="00AC6952" w:rsidP="00AA0AFD">
      <w:pPr>
        <w:rPr>
          <w:rFonts w:cs="Arial"/>
          <w:color w:val="808080" w:themeColor="background1" w:themeShade="80"/>
          <w:szCs w:val="24"/>
        </w:rPr>
      </w:pPr>
    </w:p>
    <w:p w14:paraId="06A9144C" w14:textId="77777777" w:rsidR="00157CA3" w:rsidRPr="005A3136" w:rsidRDefault="00580CCC" w:rsidP="00B914EE">
      <w:pPr>
        <w:pStyle w:val="Heading1"/>
        <w:numPr>
          <w:ilvl w:val="0"/>
          <w:numId w:val="35"/>
        </w:numPr>
        <w:ind w:left="567" w:hanging="567"/>
        <w:rPr>
          <w:color w:val="808080" w:themeColor="background1" w:themeShade="80"/>
          <w:szCs w:val="36"/>
        </w:rPr>
      </w:pPr>
      <w:bookmarkStart w:id="57" w:name="_Hlk9580915"/>
      <w:bookmarkStart w:id="58" w:name="_Toc10223076"/>
      <w:r w:rsidRPr="005A3136">
        <w:rPr>
          <w:rFonts w:cs="Arial"/>
          <w:color w:val="808080" w:themeColor="background1" w:themeShade="80"/>
          <w:szCs w:val="36"/>
        </w:rPr>
        <w:lastRenderedPageBreak/>
        <w:t>Journey 3</w:t>
      </w:r>
      <w:r w:rsidR="00EB1A49" w:rsidRPr="005A3136">
        <w:rPr>
          <w:rFonts w:cs="Arial"/>
          <w:color w:val="808080" w:themeColor="background1" w:themeShade="80"/>
          <w:szCs w:val="36"/>
        </w:rPr>
        <w:t xml:space="preserve"> </w:t>
      </w:r>
      <w:r w:rsidR="0084368E" w:rsidRPr="005A3136">
        <w:rPr>
          <w:rFonts w:cs="Arial"/>
          <w:color w:val="808080" w:themeColor="background1" w:themeShade="80"/>
          <w:szCs w:val="36"/>
        </w:rPr>
        <w:t>–</w:t>
      </w:r>
      <w:r w:rsidR="00C9624F" w:rsidRPr="005A3136">
        <w:rPr>
          <w:b w:val="0"/>
          <w:color w:val="808080" w:themeColor="background1" w:themeShade="80"/>
          <w:sz w:val="24"/>
          <w:szCs w:val="24"/>
        </w:rPr>
        <w:t xml:space="preserve"> </w:t>
      </w:r>
      <w:r w:rsidR="00C9624F" w:rsidRPr="005A3136">
        <w:rPr>
          <w:color w:val="808080" w:themeColor="background1" w:themeShade="80"/>
          <w:szCs w:val="36"/>
        </w:rPr>
        <w:t>Improving health, care and services through planning</w:t>
      </w:r>
      <w:r w:rsidR="009359FF">
        <w:rPr>
          <w:color w:val="808080" w:themeColor="background1" w:themeShade="80"/>
          <w:szCs w:val="36"/>
        </w:rPr>
        <w:t xml:space="preserve"> and evaluation</w:t>
      </w:r>
      <w:r w:rsidR="00F66CE6" w:rsidRPr="005A3136">
        <w:rPr>
          <w:color w:val="808080" w:themeColor="background1" w:themeShade="80"/>
          <w:szCs w:val="36"/>
        </w:rPr>
        <w:t xml:space="preserve"> (</w:t>
      </w:r>
      <w:r w:rsidR="0084368E" w:rsidRPr="005A3136">
        <w:rPr>
          <w:rFonts w:cs="Arial"/>
          <w:color w:val="808080" w:themeColor="background1" w:themeShade="80"/>
          <w:szCs w:val="36"/>
        </w:rPr>
        <w:t>Secondary Uses</w:t>
      </w:r>
      <w:r w:rsidR="00F90524" w:rsidRPr="005A3136">
        <w:rPr>
          <w:rFonts w:cs="Arial"/>
          <w:color w:val="808080" w:themeColor="background1" w:themeShade="80"/>
          <w:szCs w:val="36"/>
        </w:rPr>
        <w:t>/Population Health Management</w:t>
      </w:r>
      <w:r w:rsidR="00F66CE6" w:rsidRPr="005A3136">
        <w:rPr>
          <w:rFonts w:cs="Arial"/>
          <w:color w:val="808080" w:themeColor="background1" w:themeShade="80"/>
          <w:szCs w:val="36"/>
        </w:rPr>
        <w:t>)</w:t>
      </w:r>
      <w:bookmarkEnd w:id="58"/>
    </w:p>
    <w:p w14:paraId="1F7C5D1C" w14:textId="77777777" w:rsidR="00C9624F" w:rsidRPr="005A3136" w:rsidRDefault="00C9624F" w:rsidP="005E5BB7">
      <w:pPr>
        <w:spacing w:before="0" w:after="0" w:line="276" w:lineRule="auto"/>
        <w:rPr>
          <w:rFonts w:cs="Arial"/>
          <w:b/>
          <w:color w:val="808080" w:themeColor="background1" w:themeShade="80"/>
          <w:szCs w:val="24"/>
        </w:rPr>
      </w:pPr>
      <w:bookmarkStart w:id="59" w:name="_Hlk535232541"/>
    </w:p>
    <w:p w14:paraId="010CC92D" w14:textId="77777777" w:rsidR="003E09AD" w:rsidRPr="005A3136" w:rsidRDefault="003E09AD" w:rsidP="005E5BB7">
      <w:pPr>
        <w:spacing w:before="0" w:after="0" w:line="276" w:lineRule="auto"/>
        <w:rPr>
          <w:rFonts w:cs="Arial"/>
          <w:b/>
          <w:color w:val="808080" w:themeColor="background1" w:themeShade="80"/>
          <w:szCs w:val="24"/>
        </w:rPr>
      </w:pPr>
      <w:r w:rsidRPr="005A3136">
        <w:rPr>
          <w:rFonts w:cs="Arial"/>
          <w:b/>
          <w:color w:val="808080" w:themeColor="background1" w:themeShade="80"/>
          <w:szCs w:val="24"/>
        </w:rPr>
        <w:t>Background</w:t>
      </w:r>
    </w:p>
    <w:p w14:paraId="628E7A32" w14:textId="77777777" w:rsidR="00C9624F" w:rsidRPr="002F4431" w:rsidRDefault="00C9624F" w:rsidP="005A0E26">
      <w:pPr>
        <w:spacing w:before="0" w:after="0" w:line="276" w:lineRule="auto"/>
        <w:jc w:val="both"/>
        <w:rPr>
          <w:rFonts w:cs="Arial"/>
          <w:color w:val="808080" w:themeColor="background1" w:themeShade="80"/>
          <w:szCs w:val="24"/>
        </w:rPr>
      </w:pPr>
      <w:bookmarkStart w:id="60" w:name="_Hlk536431275"/>
      <w:r w:rsidRPr="002F4431">
        <w:rPr>
          <w:rFonts w:cs="Arial"/>
          <w:color w:val="808080" w:themeColor="background1" w:themeShade="80"/>
          <w:szCs w:val="24"/>
        </w:rPr>
        <w:t xml:space="preserve">This journey covers the </w:t>
      </w:r>
      <w:r w:rsidR="003E09AD" w:rsidRPr="002F4431">
        <w:rPr>
          <w:rFonts w:cs="Arial"/>
          <w:color w:val="808080" w:themeColor="background1" w:themeShade="80"/>
          <w:szCs w:val="24"/>
        </w:rPr>
        <w:t xml:space="preserve">use of data </w:t>
      </w:r>
      <w:r w:rsidRPr="002F4431">
        <w:rPr>
          <w:rFonts w:cs="Arial"/>
          <w:color w:val="808080" w:themeColor="background1" w:themeShade="80"/>
          <w:szCs w:val="24"/>
        </w:rPr>
        <w:t xml:space="preserve">for improving health, care and servicing through planning/ health service management.  </w:t>
      </w:r>
      <w:r w:rsidR="003E09AD" w:rsidRPr="002F4431">
        <w:rPr>
          <w:rFonts w:cs="Arial"/>
          <w:color w:val="808080" w:themeColor="background1" w:themeShade="80"/>
          <w:szCs w:val="24"/>
        </w:rPr>
        <w:t>Using information beyond individual care results in different information governance requirements and implications for access to data to support them.</w:t>
      </w:r>
      <w:bookmarkEnd w:id="60"/>
      <w:r w:rsidR="002F1BD1" w:rsidRPr="002F4431">
        <w:rPr>
          <w:rFonts w:cs="Arial"/>
          <w:color w:val="808080" w:themeColor="background1" w:themeShade="80"/>
          <w:szCs w:val="24"/>
        </w:rPr>
        <w:t xml:space="preserve"> </w:t>
      </w:r>
      <w:r w:rsidR="009E0062" w:rsidRPr="002F4431">
        <w:rPr>
          <w:rFonts w:cs="Arial"/>
          <w:color w:val="808080" w:themeColor="background1" w:themeShade="80"/>
          <w:szCs w:val="24"/>
        </w:rPr>
        <w:t xml:space="preserve"> Data from LHCRs will be used for the provision of health and care</w:t>
      </w:r>
      <w:r w:rsidR="005F78FD" w:rsidRPr="002F4431">
        <w:rPr>
          <w:rFonts w:cs="Arial"/>
          <w:color w:val="808080" w:themeColor="background1" w:themeShade="80"/>
          <w:szCs w:val="24"/>
        </w:rPr>
        <w:t xml:space="preserve">, </w:t>
      </w:r>
      <w:r w:rsidR="005F78FD" w:rsidRPr="002F4431">
        <w:rPr>
          <w:color w:val="808080" w:themeColor="background1" w:themeShade="80"/>
        </w:rPr>
        <w:t>for planning and evaluating services</w:t>
      </w:r>
      <w:r w:rsidR="009E0062" w:rsidRPr="002F4431">
        <w:rPr>
          <w:rFonts w:cs="Arial"/>
          <w:color w:val="808080" w:themeColor="background1" w:themeShade="80"/>
          <w:szCs w:val="24"/>
        </w:rPr>
        <w:t xml:space="preserve"> and for the promotion of health. It will not be used for example for marketing</w:t>
      </w:r>
      <w:r w:rsidR="00D529FA" w:rsidRPr="002F4431">
        <w:rPr>
          <w:rFonts w:cs="Arial"/>
          <w:color w:val="808080" w:themeColor="background1" w:themeShade="80"/>
          <w:szCs w:val="24"/>
        </w:rPr>
        <w:t xml:space="preserve"> or insurance</w:t>
      </w:r>
      <w:r w:rsidR="009E0062" w:rsidRPr="002F4431">
        <w:rPr>
          <w:rFonts w:cs="Arial"/>
          <w:color w:val="808080" w:themeColor="background1" w:themeShade="80"/>
          <w:szCs w:val="24"/>
        </w:rPr>
        <w:t xml:space="preserve"> purposes.</w:t>
      </w:r>
    </w:p>
    <w:p w14:paraId="0EF2A882" w14:textId="77777777" w:rsidR="00F73787" w:rsidRPr="005A3136" w:rsidRDefault="00F73787" w:rsidP="005A0E26">
      <w:pPr>
        <w:spacing w:before="0" w:after="0" w:line="276" w:lineRule="auto"/>
        <w:jc w:val="both"/>
        <w:rPr>
          <w:rFonts w:cs="Arial"/>
          <w:color w:val="808080" w:themeColor="background1" w:themeShade="80"/>
          <w:szCs w:val="24"/>
        </w:rPr>
      </w:pPr>
    </w:p>
    <w:p w14:paraId="331DCCCC" w14:textId="77777777" w:rsidR="00641F6E" w:rsidRPr="005A3136" w:rsidRDefault="00B04741">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 appropriate lawful basis for processing personal data under the DPA(GDPR) is set out below. </w:t>
      </w:r>
      <w:r w:rsidR="00C9624F" w:rsidRPr="005A3136">
        <w:rPr>
          <w:rFonts w:cs="Arial"/>
          <w:color w:val="808080" w:themeColor="background1" w:themeShade="80"/>
          <w:szCs w:val="24"/>
        </w:rPr>
        <w:t>Personal/confidential patient information will be de-identified using de-identification software procured for national use by NHS Digital and deployed locally. This will allow the LHCR to locally de-identify the longitudinal records in their area</w:t>
      </w:r>
      <w:r w:rsidR="00641F6E" w:rsidRPr="005A3136">
        <w:rPr>
          <w:rFonts w:cs="Arial"/>
          <w:color w:val="808080" w:themeColor="background1" w:themeShade="80"/>
          <w:szCs w:val="24"/>
        </w:rPr>
        <w:t xml:space="preserve">.  </w:t>
      </w:r>
    </w:p>
    <w:p w14:paraId="19468D6C" w14:textId="77777777" w:rsidR="00641F6E" w:rsidRPr="005A3136" w:rsidRDefault="00641F6E">
      <w:pPr>
        <w:spacing w:before="0" w:after="0" w:line="276" w:lineRule="auto"/>
        <w:jc w:val="both"/>
        <w:rPr>
          <w:rFonts w:cs="Arial"/>
          <w:color w:val="808080" w:themeColor="background1" w:themeShade="80"/>
          <w:szCs w:val="24"/>
        </w:rPr>
      </w:pPr>
    </w:p>
    <w:p w14:paraId="42AC1D82" w14:textId="77777777" w:rsidR="00C9624F" w:rsidRDefault="00641F6E">
      <w:pPr>
        <w:spacing w:before="0" w:after="0" w:line="276" w:lineRule="auto"/>
        <w:jc w:val="both"/>
        <w:rPr>
          <w:rFonts w:cs="Arial"/>
          <w:i/>
          <w:iCs/>
          <w:color w:val="808080" w:themeColor="background1" w:themeShade="80"/>
          <w:szCs w:val="24"/>
        </w:rPr>
      </w:pPr>
      <w:r w:rsidRPr="005A3136">
        <w:rPr>
          <w:rFonts w:cs="Arial"/>
          <w:color w:val="808080" w:themeColor="background1" w:themeShade="80"/>
          <w:szCs w:val="24"/>
        </w:rPr>
        <w:t>Further information will be added to the Information Governance Framework, which will set out the controls and security which will need to be in place to ensure that patients cannot be re-identified from the data and it is therefore considered anonymous and out of scope</w:t>
      </w:r>
      <w:r w:rsidR="00D80682">
        <w:rPr>
          <w:rFonts w:cs="Arial"/>
          <w:color w:val="808080" w:themeColor="background1" w:themeShade="80"/>
          <w:szCs w:val="24"/>
        </w:rPr>
        <w:t xml:space="preserve"> for some</w:t>
      </w:r>
      <w:r w:rsidRPr="005A3136">
        <w:rPr>
          <w:rFonts w:cs="Arial"/>
          <w:color w:val="808080" w:themeColor="background1" w:themeShade="80"/>
          <w:szCs w:val="24"/>
        </w:rPr>
        <w:t xml:space="preserve"> of </w:t>
      </w:r>
      <w:r w:rsidR="00D80682">
        <w:rPr>
          <w:rFonts w:cs="Arial"/>
          <w:color w:val="808080" w:themeColor="background1" w:themeShade="80"/>
          <w:szCs w:val="24"/>
        </w:rPr>
        <w:t xml:space="preserve">the </w:t>
      </w:r>
      <w:r w:rsidRPr="005A3136">
        <w:rPr>
          <w:rFonts w:cs="Arial"/>
          <w:color w:val="808080" w:themeColor="background1" w:themeShade="80"/>
          <w:szCs w:val="24"/>
        </w:rPr>
        <w:t>GDPR</w:t>
      </w:r>
      <w:r w:rsidR="00D80682">
        <w:rPr>
          <w:rFonts w:cs="Arial"/>
          <w:color w:val="808080" w:themeColor="background1" w:themeShade="80"/>
          <w:szCs w:val="24"/>
        </w:rPr>
        <w:t xml:space="preserve"> requirements</w:t>
      </w:r>
      <w:r w:rsidRPr="005A3136">
        <w:rPr>
          <w:rFonts w:cs="Arial"/>
          <w:color w:val="808080" w:themeColor="background1" w:themeShade="80"/>
          <w:szCs w:val="24"/>
        </w:rPr>
        <w:t xml:space="preserve">. </w:t>
      </w:r>
      <w:r w:rsidR="00C9624F" w:rsidRPr="005A3136">
        <w:rPr>
          <w:rFonts w:cs="Arial"/>
          <w:color w:val="808080" w:themeColor="background1" w:themeShade="80"/>
          <w:szCs w:val="24"/>
        </w:rPr>
        <w:t>Any use of personal/confidential patient information will require a legal basis</w:t>
      </w:r>
      <w:r w:rsidRPr="005A3136">
        <w:rPr>
          <w:rFonts w:cs="Arial"/>
          <w:color w:val="808080" w:themeColor="background1" w:themeShade="80"/>
          <w:szCs w:val="24"/>
        </w:rPr>
        <w:t xml:space="preserve"> as follows</w:t>
      </w:r>
      <w:r w:rsidR="00C9624F" w:rsidRPr="005A3136">
        <w:rPr>
          <w:rFonts w:cs="Arial"/>
          <w:i/>
          <w:iCs/>
          <w:color w:val="808080" w:themeColor="background1" w:themeShade="80"/>
          <w:szCs w:val="24"/>
        </w:rPr>
        <w:t xml:space="preserve">.  </w:t>
      </w:r>
    </w:p>
    <w:p w14:paraId="5FF4E3AF" w14:textId="77777777" w:rsidR="005E5BB7" w:rsidRPr="005A3136" w:rsidRDefault="005E5BB7" w:rsidP="005A0E26">
      <w:pPr>
        <w:spacing w:before="0" w:after="0" w:line="276" w:lineRule="auto"/>
        <w:jc w:val="both"/>
        <w:rPr>
          <w:rFonts w:cs="Arial"/>
          <w:color w:val="808080" w:themeColor="background1" w:themeShade="80"/>
          <w:szCs w:val="24"/>
        </w:rPr>
      </w:pPr>
    </w:p>
    <w:p w14:paraId="50CF9A26" w14:textId="77777777" w:rsidR="00E61C13" w:rsidRPr="005A3136" w:rsidRDefault="00E61C13" w:rsidP="00E61C13">
      <w:pPr>
        <w:spacing w:before="0" w:after="0" w:line="276" w:lineRule="auto"/>
        <w:jc w:val="both"/>
        <w:rPr>
          <w:rFonts w:cs="Arial"/>
          <w:b/>
          <w:color w:val="808080" w:themeColor="background1" w:themeShade="80"/>
          <w:szCs w:val="24"/>
        </w:rPr>
      </w:pPr>
      <w:r w:rsidRPr="005A3136">
        <w:rPr>
          <w:rFonts w:cs="Arial"/>
          <w:b/>
          <w:color w:val="808080" w:themeColor="background1" w:themeShade="80"/>
          <w:szCs w:val="24"/>
        </w:rPr>
        <w:t>Lawful Basis for Processing Health and Care Records</w:t>
      </w:r>
    </w:p>
    <w:p w14:paraId="47597B05" w14:textId="77777777" w:rsidR="00B04741" w:rsidRPr="005A3136" w:rsidRDefault="00B04741" w:rsidP="005A0E26">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6 1 (e) processing is necessary for the performance of a task carried out in the public interest or in the exercise of official authority vested in the controller.</w:t>
      </w:r>
    </w:p>
    <w:p w14:paraId="4ED15924" w14:textId="77777777" w:rsidR="005E5BB7" w:rsidRPr="005A3136" w:rsidRDefault="005E5BB7" w:rsidP="005A0E26">
      <w:pPr>
        <w:autoSpaceDE w:val="0"/>
        <w:autoSpaceDN w:val="0"/>
        <w:adjustRightInd w:val="0"/>
        <w:spacing w:before="0" w:after="0" w:line="276" w:lineRule="auto"/>
        <w:jc w:val="both"/>
        <w:rPr>
          <w:rFonts w:cs="Arial"/>
          <w:color w:val="808080" w:themeColor="background1" w:themeShade="80"/>
          <w:szCs w:val="24"/>
        </w:rPr>
      </w:pPr>
    </w:p>
    <w:p w14:paraId="50558A40" w14:textId="77777777" w:rsidR="00B04741" w:rsidRPr="005A3136" w:rsidRDefault="00B04741" w:rsidP="005A0E26">
      <w:pPr>
        <w:autoSpaceDE w:val="0"/>
        <w:autoSpaceDN w:val="0"/>
        <w:adjustRightInd w:val="0"/>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 Health and Social Care (Safety and Quality) Act 2015 inserted a legal </w:t>
      </w:r>
      <w:r w:rsidR="00901104" w:rsidRPr="005A3136">
        <w:rPr>
          <w:rFonts w:cs="Arial"/>
          <w:color w:val="808080" w:themeColor="background1" w:themeShade="80"/>
          <w:szCs w:val="24"/>
        </w:rPr>
        <w:t xml:space="preserve">Duty to Share Information </w:t>
      </w:r>
      <w:r w:rsidRPr="005A3136">
        <w:rPr>
          <w:rFonts w:cs="Arial"/>
          <w:color w:val="808080" w:themeColor="background1" w:themeShade="80"/>
          <w:szCs w:val="24"/>
        </w:rPr>
        <w:t>In Part 9 of the Health and Social Care Act 2012 (health and adult social care services: information)</w:t>
      </w:r>
      <w:r w:rsidR="005A0E26" w:rsidRPr="005A3136">
        <w:rPr>
          <w:rFonts w:cs="Arial"/>
          <w:color w:val="808080" w:themeColor="background1" w:themeShade="80"/>
          <w:szCs w:val="24"/>
        </w:rPr>
        <w:t>.</w:t>
      </w:r>
    </w:p>
    <w:p w14:paraId="7CA5A0B9" w14:textId="77777777" w:rsidR="00D128C8" w:rsidRPr="005A3136" w:rsidRDefault="00D128C8" w:rsidP="005A0E26">
      <w:pPr>
        <w:autoSpaceDE w:val="0"/>
        <w:autoSpaceDN w:val="0"/>
        <w:adjustRightInd w:val="0"/>
        <w:spacing w:before="0" w:after="0" w:line="276" w:lineRule="auto"/>
        <w:rPr>
          <w:rFonts w:cs="Arial"/>
          <w:color w:val="808080" w:themeColor="background1" w:themeShade="80"/>
          <w:szCs w:val="24"/>
        </w:rPr>
      </w:pPr>
    </w:p>
    <w:tbl>
      <w:tblPr>
        <w:tblStyle w:val="TableElegant"/>
        <w:tblW w:w="9776" w:type="dxa"/>
        <w:tblLook w:val="04A0" w:firstRow="1" w:lastRow="0" w:firstColumn="1" w:lastColumn="0" w:noHBand="0" w:noVBand="1"/>
      </w:tblPr>
      <w:tblGrid>
        <w:gridCol w:w="4508"/>
        <w:gridCol w:w="5268"/>
      </w:tblGrid>
      <w:tr w:rsidR="00B04741" w:rsidRPr="001B37E5" w14:paraId="15E1ED97" w14:textId="77777777" w:rsidTr="005A0E26">
        <w:trPr>
          <w:cnfStyle w:val="100000000000" w:firstRow="1" w:lastRow="0" w:firstColumn="0" w:lastColumn="0" w:oddVBand="0" w:evenVBand="0" w:oddHBand="0" w:evenHBand="0" w:firstRowFirstColumn="0" w:firstRowLastColumn="0" w:lastRowFirstColumn="0" w:lastRowLastColumn="0"/>
        </w:trPr>
        <w:tc>
          <w:tcPr>
            <w:tcW w:w="4508" w:type="dxa"/>
          </w:tcPr>
          <w:p w14:paraId="7913D37D"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Local Authorities</w:t>
            </w:r>
          </w:p>
        </w:tc>
        <w:tc>
          <w:tcPr>
            <w:tcW w:w="5268" w:type="dxa"/>
          </w:tcPr>
          <w:p w14:paraId="08A54D09"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Care Act 2014 (Section 6)</w:t>
            </w:r>
          </w:p>
          <w:p w14:paraId="48891807"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Local Government Act 1974</w:t>
            </w:r>
          </w:p>
          <w:p w14:paraId="4E6BA281"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Local Government Act 1972 (Section 111)</w:t>
            </w:r>
          </w:p>
          <w:p w14:paraId="1246002A"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Localism Act 2011</w:t>
            </w:r>
          </w:p>
          <w:p w14:paraId="228101CF"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Localism Act 2000 (Section 1)</w:t>
            </w:r>
          </w:p>
          <w:p w14:paraId="4A2F1EAB"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Children Act 2004</w:t>
            </w:r>
          </w:p>
          <w:p w14:paraId="0CB85001" w14:textId="77777777" w:rsidR="00B04741" w:rsidRPr="001B37E5" w:rsidRDefault="00B04741" w:rsidP="005A0E26">
            <w:pPr>
              <w:spacing w:before="0" w:after="0" w:line="276" w:lineRule="auto"/>
              <w:rPr>
                <w:rFonts w:cs="Arial"/>
                <w:caps w:val="0"/>
                <w:color w:val="808080" w:themeColor="background1" w:themeShade="80"/>
                <w:szCs w:val="24"/>
              </w:rPr>
            </w:pPr>
            <w:r w:rsidRPr="001B37E5">
              <w:rPr>
                <w:rFonts w:cs="Arial"/>
                <w:caps w:val="0"/>
                <w:color w:val="808080" w:themeColor="background1" w:themeShade="80"/>
                <w:szCs w:val="24"/>
              </w:rPr>
              <w:t>Children Act 1989</w:t>
            </w:r>
          </w:p>
        </w:tc>
      </w:tr>
    </w:tbl>
    <w:p w14:paraId="17646850" w14:textId="77777777" w:rsidR="00B04741" w:rsidRPr="005A3136" w:rsidRDefault="00B04741" w:rsidP="005A0E26">
      <w:pPr>
        <w:autoSpaceDE w:val="0"/>
        <w:autoSpaceDN w:val="0"/>
        <w:adjustRightInd w:val="0"/>
        <w:spacing w:before="0" w:after="0" w:line="276" w:lineRule="auto"/>
        <w:rPr>
          <w:rFonts w:cs="Arial"/>
          <w:color w:val="808080" w:themeColor="background1" w:themeShade="80"/>
          <w:szCs w:val="24"/>
        </w:rPr>
      </w:pPr>
    </w:p>
    <w:p w14:paraId="02029038" w14:textId="4AFDDDBD" w:rsidR="00B04741" w:rsidRPr="005A3136" w:rsidRDefault="00B04741" w:rsidP="005A0E26">
      <w:pPr>
        <w:autoSpaceDE w:val="0"/>
        <w:autoSpaceDN w:val="0"/>
        <w:adjustRightInd w:val="0"/>
        <w:spacing w:before="0" w:after="0" w:line="276" w:lineRule="auto"/>
        <w:rPr>
          <w:rFonts w:cs="Arial"/>
          <w:color w:val="808080" w:themeColor="background1" w:themeShade="80"/>
          <w:szCs w:val="24"/>
        </w:rPr>
      </w:pPr>
      <w:r w:rsidRPr="005A3136">
        <w:rPr>
          <w:rFonts w:cs="Arial"/>
          <w:color w:val="808080" w:themeColor="background1" w:themeShade="80"/>
          <w:szCs w:val="24"/>
        </w:rPr>
        <w:t>If the data processed for the</w:t>
      </w:r>
      <w:r w:rsidR="00901104" w:rsidRPr="005A3136">
        <w:rPr>
          <w:rFonts w:cs="Arial"/>
          <w:color w:val="808080" w:themeColor="background1" w:themeShade="80"/>
          <w:szCs w:val="24"/>
        </w:rPr>
        <w:t xml:space="preserve"> purposes of</w:t>
      </w:r>
      <w:r w:rsidRPr="005A3136">
        <w:rPr>
          <w:rFonts w:cs="Arial"/>
          <w:color w:val="808080" w:themeColor="background1" w:themeShade="80"/>
          <w:szCs w:val="24"/>
        </w:rPr>
        <w:t xml:space="preserve"> </w:t>
      </w:r>
      <w:r w:rsidR="00901104" w:rsidRPr="005A3136">
        <w:rPr>
          <w:rFonts w:cs="Arial"/>
          <w:color w:val="808080" w:themeColor="background1" w:themeShade="80"/>
          <w:szCs w:val="24"/>
        </w:rPr>
        <w:t>service planning and management</w:t>
      </w:r>
      <w:r w:rsidRPr="005A3136">
        <w:rPr>
          <w:rFonts w:cs="Arial"/>
          <w:b/>
          <w:color w:val="808080" w:themeColor="background1" w:themeShade="80"/>
          <w:szCs w:val="24"/>
        </w:rPr>
        <w:t xml:space="preserve"> </w:t>
      </w:r>
      <w:r w:rsidR="00476F7E" w:rsidRPr="00476F7E">
        <w:rPr>
          <w:rFonts w:cs="Arial"/>
          <w:color w:val="808080" w:themeColor="background1" w:themeShade="80"/>
          <w:szCs w:val="24"/>
        </w:rPr>
        <w:t xml:space="preserve">it </w:t>
      </w:r>
      <w:r w:rsidRPr="005A3136">
        <w:rPr>
          <w:rFonts w:cs="Arial"/>
          <w:color w:val="808080" w:themeColor="background1" w:themeShade="80"/>
          <w:szCs w:val="24"/>
        </w:rPr>
        <w:t>is still considered to be personal data under GDPR</w:t>
      </w:r>
      <w:r w:rsidR="00476F7E">
        <w:rPr>
          <w:rFonts w:cs="Arial"/>
          <w:color w:val="808080" w:themeColor="background1" w:themeShade="80"/>
          <w:szCs w:val="24"/>
        </w:rPr>
        <w:t>. T</w:t>
      </w:r>
      <w:r w:rsidRPr="005A3136">
        <w:rPr>
          <w:rFonts w:cs="Arial"/>
          <w:color w:val="808080" w:themeColor="background1" w:themeShade="80"/>
          <w:szCs w:val="24"/>
        </w:rPr>
        <w:t xml:space="preserve">he condition which </w:t>
      </w:r>
      <w:r w:rsidR="00476F7E">
        <w:rPr>
          <w:rFonts w:cs="Arial"/>
          <w:color w:val="808080" w:themeColor="background1" w:themeShade="80"/>
          <w:szCs w:val="24"/>
        </w:rPr>
        <w:t xml:space="preserve">supports the processing of </w:t>
      </w:r>
      <w:r w:rsidRPr="005A3136">
        <w:rPr>
          <w:rFonts w:cs="Arial"/>
          <w:color w:val="808080" w:themeColor="background1" w:themeShade="80"/>
          <w:szCs w:val="24"/>
        </w:rPr>
        <w:t>special category of data is:</w:t>
      </w:r>
    </w:p>
    <w:p w14:paraId="37636EF0" w14:textId="77777777" w:rsidR="00476F7E" w:rsidRPr="005A3136" w:rsidRDefault="00476F7E" w:rsidP="005A0E26">
      <w:pPr>
        <w:autoSpaceDE w:val="0"/>
        <w:autoSpaceDN w:val="0"/>
        <w:adjustRightInd w:val="0"/>
        <w:spacing w:before="0" w:after="0" w:line="276" w:lineRule="auto"/>
        <w:rPr>
          <w:rFonts w:cs="Arial"/>
          <w:color w:val="808080" w:themeColor="background1" w:themeShade="80"/>
          <w:szCs w:val="24"/>
        </w:rPr>
      </w:pPr>
    </w:p>
    <w:p w14:paraId="7CA3C8AD" w14:textId="77777777" w:rsidR="00593D5C" w:rsidRPr="005A3136" w:rsidRDefault="00253859" w:rsidP="00380E79">
      <w:pPr>
        <w:spacing w:before="0" w:after="0" w:line="276" w:lineRule="auto"/>
        <w:jc w:val="both"/>
        <w:rPr>
          <w:rFonts w:cs="Arial"/>
          <w:color w:val="808080" w:themeColor="background1" w:themeShade="80"/>
          <w:szCs w:val="24"/>
          <w:lang w:val="en-US"/>
        </w:rPr>
      </w:pPr>
      <w:r w:rsidRPr="005A3136">
        <w:rPr>
          <w:rFonts w:cs="Arial"/>
          <w:color w:val="808080" w:themeColor="background1" w:themeShade="80"/>
          <w:szCs w:val="24"/>
        </w:rPr>
        <w:t xml:space="preserve">9 (2) (h) - </w:t>
      </w:r>
      <w:r w:rsidRPr="005A3136">
        <w:rPr>
          <w:rFonts w:cs="Arial"/>
          <w:color w:val="808080" w:themeColor="background1" w:themeShade="80"/>
          <w:szCs w:val="24"/>
          <w:lang w:val="en-US"/>
        </w:rPr>
        <w:t xml:space="preserve">processing is necessary for the purposes of preventive or occupational medicine, for the assessment of the working capacity of the employee, medical diagnosis, the provision of health or social care or treatment or the management of health or social care systems and </w:t>
      </w:r>
      <w:r w:rsidRPr="005A3136">
        <w:rPr>
          <w:rFonts w:cs="Arial"/>
          <w:color w:val="808080" w:themeColor="background1" w:themeShade="80"/>
          <w:szCs w:val="24"/>
          <w:lang w:val="en-US"/>
        </w:rPr>
        <w:lastRenderedPageBreak/>
        <w:t>services on the basis of Union or Member State law or pursuant to contract with a health professional and subject to the conditions and safeguards referred to in paragraph 3</w:t>
      </w:r>
      <w:r w:rsidR="00CB0F85" w:rsidRPr="005A3136">
        <w:rPr>
          <w:rFonts w:cs="Arial"/>
          <w:color w:val="808080" w:themeColor="background1" w:themeShade="80"/>
          <w:szCs w:val="24"/>
          <w:lang w:val="en-US"/>
        </w:rPr>
        <w:t>.</w:t>
      </w:r>
    </w:p>
    <w:p w14:paraId="32567D60" w14:textId="77777777" w:rsidR="00CB0F85" w:rsidRPr="005A3136" w:rsidRDefault="00CB0F85" w:rsidP="00380E79">
      <w:pPr>
        <w:spacing w:before="0" w:after="0" w:line="276" w:lineRule="auto"/>
        <w:jc w:val="both"/>
        <w:rPr>
          <w:rFonts w:cs="Arial"/>
          <w:color w:val="808080" w:themeColor="background1" w:themeShade="80"/>
          <w:szCs w:val="24"/>
        </w:rPr>
      </w:pPr>
    </w:p>
    <w:bookmarkEnd w:id="59"/>
    <w:p w14:paraId="3B148E56" w14:textId="77777777" w:rsidR="00AA0AFD" w:rsidRPr="005A3136" w:rsidRDefault="00041859" w:rsidP="009E1045">
      <w:pPr>
        <w:spacing w:before="0" w:after="160" w:line="259" w:lineRule="auto"/>
        <w:rPr>
          <w:rFonts w:cs="Arial"/>
          <w:b/>
          <w:color w:val="808080" w:themeColor="background1" w:themeShade="80"/>
          <w:szCs w:val="24"/>
        </w:rPr>
      </w:pPr>
      <w:r w:rsidRPr="005A3136">
        <w:rPr>
          <w:rFonts w:cs="Arial"/>
          <w:b/>
          <w:color w:val="808080" w:themeColor="background1" w:themeShade="80"/>
          <w:szCs w:val="24"/>
        </w:rPr>
        <w:t xml:space="preserve">Secondary Uses </w:t>
      </w:r>
      <w:r w:rsidR="0039221C" w:rsidRPr="005A3136">
        <w:rPr>
          <w:rFonts w:cs="Arial"/>
          <w:b/>
          <w:color w:val="808080" w:themeColor="background1" w:themeShade="80"/>
          <w:szCs w:val="24"/>
        </w:rPr>
        <w:t>Data Governance Tool (SUDGT)</w:t>
      </w:r>
    </w:p>
    <w:p w14:paraId="1EA55781" w14:textId="77777777" w:rsidR="0039221C" w:rsidRPr="005A3136" w:rsidRDefault="00862A2F"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In order for LHCR data to be used for secondary uses, the joint controllers </w:t>
      </w:r>
      <w:r w:rsidR="00476F7E">
        <w:rPr>
          <w:rFonts w:cs="Arial"/>
          <w:color w:val="808080" w:themeColor="background1" w:themeShade="80"/>
          <w:szCs w:val="24"/>
        </w:rPr>
        <w:t xml:space="preserve">responsible for the LHCR </w:t>
      </w:r>
      <w:r w:rsidRPr="005A3136">
        <w:rPr>
          <w:rFonts w:cs="Arial"/>
          <w:color w:val="808080" w:themeColor="background1" w:themeShade="80"/>
          <w:szCs w:val="24"/>
        </w:rPr>
        <w:t xml:space="preserve">must agree and implement a robust method to </w:t>
      </w:r>
      <w:r w:rsidR="00641F6E" w:rsidRPr="005A3136">
        <w:rPr>
          <w:rFonts w:cs="Arial"/>
          <w:color w:val="808080" w:themeColor="background1" w:themeShade="80"/>
          <w:szCs w:val="24"/>
        </w:rPr>
        <w:t>ensure the data is</w:t>
      </w:r>
      <w:r w:rsidR="00476F7E">
        <w:rPr>
          <w:rFonts w:cs="Arial"/>
          <w:color w:val="808080" w:themeColor="background1" w:themeShade="80"/>
          <w:szCs w:val="24"/>
        </w:rPr>
        <w:t xml:space="preserve"> de-identified sufficiently to render it </w:t>
      </w:r>
      <w:r w:rsidR="00641F6E" w:rsidRPr="005A3136">
        <w:rPr>
          <w:rFonts w:cs="Arial"/>
          <w:color w:val="808080" w:themeColor="background1" w:themeShade="80"/>
          <w:szCs w:val="24"/>
        </w:rPr>
        <w:t>anonymous</w:t>
      </w:r>
      <w:r w:rsidR="00476F7E">
        <w:rPr>
          <w:rFonts w:cs="Arial"/>
          <w:color w:val="808080" w:themeColor="background1" w:themeShade="80"/>
          <w:szCs w:val="24"/>
        </w:rPr>
        <w:t xml:space="preserve"> in line with the ICO Anonymisation code of practice</w:t>
      </w:r>
      <w:r w:rsidR="00641F6E" w:rsidRPr="005A3136">
        <w:rPr>
          <w:rFonts w:cs="Arial"/>
          <w:color w:val="808080" w:themeColor="background1" w:themeShade="80"/>
          <w:szCs w:val="24"/>
        </w:rPr>
        <w:t>.</w:t>
      </w:r>
      <w:r w:rsidR="00CB0F85" w:rsidRPr="005A3136">
        <w:rPr>
          <w:rStyle w:val="FootnoteReference"/>
          <w:rFonts w:cs="Arial"/>
          <w:color w:val="808080" w:themeColor="background1" w:themeShade="80"/>
          <w:szCs w:val="24"/>
        </w:rPr>
        <w:footnoteReference w:id="13"/>
      </w:r>
      <w:r w:rsidR="00AA0AFD" w:rsidRPr="005A3136">
        <w:rPr>
          <w:rFonts w:cs="Arial"/>
          <w:color w:val="808080" w:themeColor="background1" w:themeShade="80"/>
          <w:szCs w:val="24"/>
        </w:rPr>
        <w:t xml:space="preserve"> </w:t>
      </w:r>
      <w:r w:rsidR="00380E79" w:rsidRPr="005A3136">
        <w:rPr>
          <w:rFonts w:cs="Arial"/>
          <w:color w:val="808080" w:themeColor="background1" w:themeShade="80"/>
          <w:szCs w:val="24"/>
        </w:rPr>
        <w:t xml:space="preserve"> The</w:t>
      </w:r>
      <w:r w:rsidR="00900A8A" w:rsidRPr="005A3136">
        <w:rPr>
          <w:rFonts w:cs="Arial"/>
          <w:color w:val="808080" w:themeColor="background1" w:themeShade="80"/>
          <w:szCs w:val="24"/>
        </w:rPr>
        <w:t xml:space="preserve"> SUDGT </w:t>
      </w:r>
      <w:r w:rsidR="009B505F" w:rsidRPr="005A3136">
        <w:rPr>
          <w:rFonts w:cs="Arial"/>
          <w:color w:val="808080" w:themeColor="background1" w:themeShade="80"/>
          <w:szCs w:val="24"/>
        </w:rPr>
        <w:t xml:space="preserve">proposes </w:t>
      </w:r>
      <w:r w:rsidRPr="005A3136">
        <w:rPr>
          <w:rFonts w:cs="Arial"/>
          <w:color w:val="808080" w:themeColor="background1" w:themeShade="80"/>
          <w:szCs w:val="24"/>
        </w:rPr>
        <w:t>different models t</w:t>
      </w:r>
      <w:r w:rsidR="00C64E71" w:rsidRPr="005A3136">
        <w:rPr>
          <w:rFonts w:cs="Arial"/>
          <w:color w:val="808080" w:themeColor="background1" w:themeShade="80"/>
          <w:szCs w:val="24"/>
        </w:rPr>
        <w:t xml:space="preserve">o achieve </w:t>
      </w:r>
      <w:r w:rsidR="00641F6E" w:rsidRPr="005A3136">
        <w:rPr>
          <w:rFonts w:cs="Arial"/>
          <w:color w:val="808080" w:themeColor="background1" w:themeShade="80"/>
          <w:szCs w:val="24"/>
        </w:rPr>
        <w:t>this</w:t>
      </w:r>
      <w:r w:rsidR="009B505F" w:rsidRPr="005A3136">
        <w:rPr>
          <w:rFonts w:cs="Arial"/>
          <w:color w:val="808080" w:themeColor="background1" w:themeShade="80"/>
          <w:szCs w:val="24"/>
        </w:rPr>
        <w:t xml:space="preserve"> </w:t>
      </w:r>
      <w:r w:rsidR="00C64E71" w:rsidRPr="005A3136">
        <w:rPr>
          <w:rFonts w:cs="Arial"/>
          <w:color w:val="808080" w:themeColor="background1" w:themeShade="80"/>
          <w:szCs w:val="24"/>
        </w:rPr>
        <w:t>and sets out the pro</w:t>
      </w:r>
      <w:r w:rsidR="007A39A9" w:rsidRPr="005A3136">
        <w:rPr>
          <w:rFonts w:cs="Arial"/>
          <w:color w:val="808080" w:themeColor="background1" w:themeShade="80"/>
          <w:szCs w:val="24"/>
        </w:rPr>
        <w:t>s/con</w:t>
      </w:r>
      <w:r w:rsidR="00C64E71" w:rsidRPr="005A3136">
        <w:rPr>
          <w:rFonts w:cs="Arial"/>
          <w:color w:val="808080" w:themeColor="background1" w:themeShade="80"/>
          <w:szCs w:val="24"/>
        </w:rPr>
        <w:t>s associated with those models.</w:t>
      </w:r>
      <w:r w:rsidR="0039221C" w:rsidRPr="005A3136">
        <w:rPr>
          <w:rFonts w:cs="Arial"/>
          <w:color w:val="808080" w:themeColor="background1" w:themeShade="80"/>
          <w:szCs w:val="24"/>
        </w:rPr>
        <w:t xml:space="preserve"> </w:t>
      </w:r>
      <w:r w:rsidR="00C64E71" w:rsidRPr="005A3136">
        <w:rPr>
          <w:rFonts w:cs="Arial"/>
          <w:color w:val="808080" w:themeColor="background1" w:themeShade="80"/>
          <w:szCs w:val="24"/>
        </w:rPr>
        <w:t xml:space="preserve">The tool also includes contractual processing models dependent on the purpose for the use of the data and the statutory </w:t>
      </w:r>
      <w:r w:rsidR="002768DB" w:rsidRPr="005A3136">
        <w:rPr>
          <w:rFonts w:cs="Arial"/>
          <w:color w:val="808080" w:themeColor="background1" w:themeShade="80"/>
          <w:szCs w:val="24"/>
        </w:rPr>
        <w:t>duties of the organisations involved</w:t>
      </w:r>
    </w:p>
    <w:p w14:paraId="481AB6AC" w14:textId="77777777" w:rsidR="00476F7E" w:rsidRPr="005A3136" w:rsidRDefault="00476F7E" w:rsidP="005E5BB7">
      <w:pPr>
        <w:spacing w:before="0" w:after="0" w:line="276" w:lineRule="auto"/>
        <w:jc w:val="both"/>
        <w:rPr>
          <w:rFonts w:cs="Arial"/>
          <w:color w:val="808080" w:themeColor="background1" w:themeShade="80"/>
          <w:szCs w:val="24"/>
        </w:rPr>
      </w:pPr>
    </w:p>
    <w:p w14:paraId="43DEB0E9" w14:textId="77777777" w:rsidR="007C39EE" w:rsidRPr="005A3136" w:rsidRDefault="007C0A26"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For </w:t>
      </w:r>
      <w:r w:rsidR="007C39EE" w:rsidRPr="005A3136">
        <w:rPr>
          <w:rFonts w:cs="Arial"/>
          <w:color w:val="808080" w:themeColor="background1" w:themeShade="80"/>
          <w:szCs w:val="24"/>
        </w:rPr>
        <w:t>individual</w:t>
      </w:r>
      <w:r w:rsidRPr="005A3136">
        <w:rPr>
          <w:rFonts w:cs="Arial"/>
          <w:color w:val="808080" w:themeColor="background1" w:themeShade="80"/>
          <w:szCs w:val="24"/>
        </w:rPr>
        <w:t xml:space="preserve"> care activities, </w:t>
      </w:r>
      <w:r w:rsidR="00C96E0F" w:rsidRPr="005A3136">
        <w:rPr>
          <w:rFonts w:cs="Arial"/>
          <w:color w:val="808080" w:themeColor="background1" w:themeShade="80"/>
          <w:szCs w:val="24"/>
        </w:rPr>
        <w:t xml:space="preserve">service </w:t>
      </w:r>
      <w:r w:rsidRPr="005A3136">
        <w:rPr>
          <w:rFonts w:cs="Arial"/>
          <w:color w:val="808080" w:themeColor="background1" w:themeShade="80"/>
          <w:szCs w:val="24"/>
        </w:rPr>
        <w:t xml:space="preserve">providers can receive and share </w:t>
      </w:r>
      <w:r w:rsidR="00641F6E" w:rsidRPr="005A3136">
        <w:rPr>
          <w:rFonts w:cs="Arial"/>
          <w:color w:val="808080" w:themeColor="background1" w:themeShade="80"/>
          <w:szCs w:val="24"/>
        </w:rPr>
        <w:t>personal/confidential patient information</w:t>
      </w:r>
      <w:r w:rsidR="001345F7" w:rsidRPr="005A3136">
        <w:rPr>
          <w:rFonts w:cs="Arial"/>
          <w:color w:val="808080" w:themeColor="background1" w:themeShade="80"/>
          <w:szCs w:val="24"/>
        </w:rPr>
        <w:t xml:space="preserve"> by ensuring that they meet the lawful processing conditions</w:t>
      </w:r>
      <w:r w:rsidRPr="005A3136">
        <w:rPr>
          <w:rFonts w:cs="Arial"/>
          <w:color w:val="808080" w:themeColor="background1" w:themeShade="80"/>
          <w:szCs w:val="24"/>
        </w:rPr>
        <w:t xml:space="preserve"> as </w:t>
      </w:r>
      <w:r w:rsidR="00380E79" w:rsidRPr="005A3136">
        <w:rPr>
          <w:rFonts w:cs="Arial"/>
          <w:color w:val="808080" w:themeColor="background1" w:themeShade="80"/>
          <w:szCs w:val="24"/>
        </w:rPr>
        <w:t xml:space="preserve">controllers.  </w:t>
      </w:r>
      <w:r w:rsidR="001345F7" w:rsidRPr="005A3136">
        <w:rPr>
          <w:rFonts w:cs="Arial"/>
          <w:color w:val="808080" w:themeColor="background1" w:themeShade="80"/>
          <w:szCs w:val="24"/>
        </w:rPr>
        <w:t>Whe</w:t>
      </w:r>
      <w:r w:rsidR="00C96E0F" w:rsidRPr="005A3136">
        <w:rPr>
          <w:rFonts w:cs="Arial"/>
          <w:color w:val="808080" w:themeColor="background1" w:themeShade="80"/>
          <w:szCs w:val="24"/>
        </w:rPr>
        <w:t>re</w:t>
      </w:r>
      <w:r w:rsidR="001345F7" w:rsidRPr="005A3136">
        <w:rPr>
          <w:rFonts w:cs="Arial"/>
          <w:color w:val="808080" w:themeColor="background1" w:themeShade="80"/>
          <w:szCs w:val="24"/>
        </w:rPr>
        <w:t xml:space="preserve"> there is a requirement to use data for </w:t>
      </w:r>
      <w:r w:rsidR="007C39EE" w:rsidRPr="005A3136">
        <w:rPr>
          <w:rFonts w:cs="Arial"/>
          <w:color w:val="808080" w:themeColor="background1" w:themeShade="80"/>
          <w:szCs w:val="24"/>
        </w:rPr>
        <w:t>purposes beyond individual care</w:t>
      </w:r>
      <w:r w:rsidRPr="005A3136">
        <w:rPr>
          <w:rFonts w:cs="Arial"/>
          <w:color w:val="808080" w:themeColor="background1" w:themeShade="80"/>
          <w:szCs w:val="24"/>
        </w:rPr>
        <w:t xml:space="preserve"> </w:t>
      </w:r>
      <w:r w:rsidR="001345F7" w:rsidRPr="005A3136">
        <w:rPr>
          <w:rFonts w:cs="Arial"/>
          <w:color w:val="808080" w:themeColor="background1" w:themeShade="80"/>
          <w:szCs w:val="24"/>
        </w:rPr>
        <w:t>(secondary uses</w:t>
      </w:r>
      <w:r w:rsidR="00C96E0F" w:rsidRPr="005A3136">
        <w:rPr>
          <w:rFonts w:cs="Arial"/>
          <w:color w:val="808080" w:themeColor="background1" w:themeShade="80"/>
          <w:szCs w:val="24"/>
        </w:rPr>
        <w:t>/P</w:t>
      </w:r>
      <w:r w:rsidR="00767E7A" w:rsidRPr="005A3136">
        <w:rPr>
          <w:rFonts w:cs="Arial"/>
          <w:color w:val="808080" w:themeColor="background1" w:themeShade="80"/>
          <w:szCs w:val="24"/>
        </w:rPr>
        <w:t xml:space="preserve">opulation </w:t>
      </w:r>
      <w:r w:rsidR="00C96E0F" w:rsidRPr="005A3136">
        <w:rPr>
          <w:rFonts w:cs="Arial"/>
          <w:color w:val="808080" w:themeColor="background1" w:themeShade="80"/>
          <w:szCs w:val="24"/>
        </w:rPr>
        <w:t>H</w:t>
      </w:r>
      <w:r w:rsidR="00767E7A" w:rsidRPr="005A3136">
        <w:rPr>
          <w:rFonts w:cs="Arial"/>
          <w:color w:val="808080" w:themeColor="background1" w:themeShade="80"/>
          <w:szCs w:val="24"/>
        </w:rPr>
        <w:t xml:space="preserve">ealth </w:t>
      </w:r>
      <w:r w:rsidR="00C96E0F" w:rsidRPr="005A3136">
        <w:rPr>
          <w:rFonts w:cs="Arial"/>
          <w:color w:val="808080" w:themeColor="background1" w:themeShade="80"/>
          <w:szCs w:val="24"/>
        </w:rPr>
        <w:t>M</w:t>
      </w:r>
      <w:r w:rsidR="00767E7A" w:rsidRPr="005A3136">
        <w:rPr>
          <w:rFonts w:cs="Arial"/>
          <w:color w:val="808080" w:themeColor="background1" w:themeShade="80"/>
          <w:szCs w:val="24"/>
        </w:rPr>
        <w:t>anagement [PHM]</w:t>
      </w:r>
      <w:r w:rsidR="00C96E0F" w:rsidRPr="005A3136">
        <w:rPr>
          <w:rFonts w:cs="Arial"/>
          <w:color w:val="808080" w:themeColor="background1" w:themeShade="80"/>
          <w:szCs w:val="24"/>
        </w:rPr>
        <w:t>)</w:t>
      </w:r>
      <w:r w:rsidRPr="005A3136">
        <w:rPr>
          <w:rFonts w:cs="Arial"/>
          <w:color w:val="808080" w:themeColor="background1" w:themeShade="80"/>
          <w:szCs w:val="24"/>
        </w:rPr>
        <w:t xml:space="preserve">, </w:t>
      </w:r>
      <w:r w:rsidR="001345F7" w:rsidRPr="005A3136">
        <w:rPr>
          <w:rFonts w:cs="Arial"/>
          <w:color w:val="808080" w:themeColor="background1" w:themeShade="80"/>
          <w:szCs w:val="24"/>
        </w:rPr>
        <w:t xml:space="preserve">organisations need to ensure they have the legal basis </w:t>
      </w:r>
      <w:r w:rsidR="00F9279A" w:rsidRPr="005A3136">
        <w:rPr>
          <w:rFonts w:cs="Arial"/>
          <w:color w:val="808080" w:themeColor="background1" w:themeShade="80"/>
          <w:szCs w:val="24"/>
        </w:rPr>
        <w:t xml:space="preserve">to </w:t>
      </w:r>
      <w:r w:rsidR="00003234" w:rsidRPr="005A3136">
        <w:rPr>
          <w:rFonts w:cs="Arial"/>
          <w:color w:val="808080" w:themeColor="background1" w:themeShade="80"/>
          <w:szCs w:val="24"/>
        </w:rPr>
        <w:t>undertake the activities</w:t>
      </w:r>
      <w:r w:rsidR="00950558" w:rsidRPr="005A3136">
        <w:rPr>
          <w:rFonts w:cs="Arial"/>
          <w:color w:val="808080" w:themeColor="background1" w:themeShade="80"/>
          <w:szCs w:val="24"/>
        </w:rPr>
        <w:t xml:space="preserve">, including processing </w:t>
      </w:r>
      <w:r w:rsidR="00544DED" w:rsidRPr="005A3136">
        <w:rPr>
          <w:rFonts w:cs="Arial"/>
          <w:color w:val="808080" w:themeColor="background1" w:themeShade="80"/>
          <w:szCs w:val="24"/>
        </w:rPr>
        <w:t>t</w:t>
      </w:r>
      <w:r w:rsidR="00040345" w:rsidRPr="005A3136">
        <w:rPr>
          <w:rFonts w:cs="Arial"/>
          <w:color w:val="808080" w:themeColor="background1" w:themeShade="80"/>
          <w:szCs w:val="24"/>
        </w:rPr>
        <w:t>o remove patient identifiers.</w:t>
      </w:r>
    </w:p>
    <w:p w14:paraId="5135BEF9" w14:textId="77777777" w:rsidR="007C39EE" w:rsidRPr="005A3136" w:rsidRDefault="007C39EE" w:rsidP="005E5BB7">
      <w:pPr>
        <w:spacing w:before="0" w:after="0" w:line="276" w:lineRule="auto"/>
        <w:jc w:val="both"/>
        <w:rPr>
          <w:rFonts w:cs="Arial"/>
          <w:color w:val="808080" w:themeColor="background1" w:themeShade="80"/>
          <w:szCs w:val="24"/>
        </w:rPr>
      </w:pPr>
    </w:p>
    <w:p w14:paraId="15EC389E" w14:textId="77777777" w:rsidR="007C0A26" w:rsidRPr="005A3136" w:rsidRDefault="001345F7"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In many instances, </w:t>
      </w:r>
      <w:r w:rsidR="00FE6038" w:rsidRPr="005A3136">
        <w:rPr>
          <w:rFonts w:cs="Arial"/>
          <w:color w:val="808080" w:themeColor="background1" w:themeShade="80"/>
          <w:szCs w:val="24"/>
        </w:rPr>
        <w:t xml:space="preserve">patient level anonymous data </w:t>
      </w:r>
      <w:r w:rsidRPr="005A3136">
        <w:rPr>
          <w:rFonts w:cs="Arial"/>
          <w:color w:val="808080" w:themeColor="background1" w:themeShade="80"/>
          <w:szCs w:val="24"/>
        </w:rPr>
        <w:t xml:space="preserve">is required by </w:t>
      </w:r>
      <w:r w:rsidR="007C0A26" w:rsidRPr="005A3136">
        <w:rPr>
          <w:rFonts w:cs="Arial"/>
          <w:color w:val="808080" w:themeColor="background1" w:themeShade="80"/>
          <w:szCs w:val="24"/>
        </w:rPr>
        <w:t xml:space="preserve">commissioners </w:t>
      </w:r>
      <w:r w:rsidRPr="005A3136">
        <w:rPr>
          <w:rFonts w:cs="Arial"/>
          <w:color w:val="808080" w:themeColor="background1" w:themeShade="80"/>
          <w:szCs w:val="24"/>
        </w:rPr>
        <w:t xml:space="preserve">in order that they can meet their </w:t>
      </w:r>
      <w:r w:rsidR="007C0A26" w:rsidRPr="005A3136">
        <w:rPr>
          <w:rFonts w:cs="Arial"/>
          <w:color w:val="808080" w:themeColor="background1" w:themeShade="80"/>
          <w:szCs w:val="24"/>
        </w:rPr>
        <w:t xml:space="preserve">statutory duties </w:t>
      </w:r>
      <w:r w:rsidRPr="005A3136">
        <w:rPr>
          <w:rFonts w:cs="Arial"/>
          <w:color w:val="808080" w:themeColor="background1" w:themeShade="80"/>
          <w:szCs w:val="24"/>
        </w:rPr>
        <w:t xml:space="preserve">and this will </w:t>
      </w:r>
      <w:r w:rsidR="007C0A26" w:rsidRPr="005A3136">
        <w:rPr>
          <w:rFonts w:cs="Arial"/>
          <w:color w:val="808080" w:themeColor="background1" w:themeShade="80"/>
          <w:szCs w:val="24"/>
        </w:rPr>
        <w:t>provide the legal basis for their access to</w:t>
      </w:r>
      <w:r w:rsidR="008F722E" w:rsidRPr="005A3136">
        <w:rPr>
          <w:rFonts w:cs="Arial"/>
          <w:color w:val="808080" w:themeColor="background1" w:themeShade="80"/>
          <w:szCs w:val="24"/>
        </w:rPr>
        <w:t xml:space="preserve"> </w:t>
      </w:r>
      <w:r w:rsidR="00FE6038" w:rsidRPr="005A3136">
        <w:rPr>
          <w:rFonts w:cs="Arial"/>
          <w:color w:val="808080" w:themeColor="background1" w:themeShade="80"/>
          <w:szCs w:val="24"/>
        </w:rPr>
        <w:t>patient level anonymous</w:t>
      </w:r>
      <w:r w:rsidR="007C0A26" w:rsidRPr="005A3136">
        <w:rPr>
          <w:rFonts w:cs="Arial"/>
          <w:color w:val="808080" w:themeColor="background1" w:themeShade="80"/>
          <w:szCs w:val="24"/>
        </w:rPr>
        <w:t xml:space="preserve"> </w:t>
      </w:r>
      <w:r w:rsidR="00C6710B" w:rsidRPr="005A3136">
        <w:rPr>
          <w:rFonts w:cs="Arial"/>
          <w:color w:val="808080" w:themeColor="background1" w:themeShade="80"/>
          <w:szCs w:val="24"/>
        </w:rPr>
        <w:t>data</w:t>
      </w:r>
      <w:r w:rsidRPr="005A3136">
        <w:rPr>
          <w:rFonts w:cs="Arial"/>
          <w:color w:val="808080" w:themeColor="background1" w:themeShade="80"/>
          <w:szCs w:val="24"/>
        </w:rPr>
        <w:t xml:space="preserve">. </w:t>
      </w:r>
      <w:r w:rsidR="00C96E0F" w:rsidRPr="005A3136">
        <w:rPr>
          <w:rFonts w:cs="Arial"/>
          <w:color w:val="808080" w:themeColor="background1" w:themeShade="80"/>
          <w:szCs w:val="24"/>
        </w:rPr>
        <w:t xml:space="preserve"> Where a commissioner contracts another organisation such as a </w:t>
      </w:r>
      <w:r w:rsidR="00003234" w:rsidRPr="005A3136">
        <w:rPr>
          <w:rFonts w:cs="Arial"/>
          <w:color w:val="808080" w:themeColor="background1" w:themeShade="80"/>
          <w:szCs w:val="24"/>
        </w:rPr>
        <w:t xml:space="preserve">provider </w:t>
      </w:r>
      <w:r w:rsidR="00C96E0F" w:rsidRPr="005A3136">
        <w:rPr>
          <w:rFonts w:cs="Arial"/>
          <w:color w:val="808080" w:themeColor="background1" w:themeShade="80"/>
          <w:szCs w:val="24"/>
        </w:rPr>
        <w:t xml:space="preserve">to undertake secondary use activities on their behalf, the provider must operate under </w:t>
      </w:r>
      <w:r w:rsidR="002A6A5C" w:rsidRPr="005A3136">
        <w:rPr>
          <w:rFonts w:cs="Arial"/>
          <w:color w:val="808080" w:themeColor="background1" w:themeShade="80"/>
          <w:szCs w:val="24"/>
        </w:rPr>
        <w:t>processing contracts and will only be able to use the data for the agreed purpose.</w:t>
      </w:r>
      <w:r w:rsidR="00C11DEE">
        <w:rPr>
          <w:rFonts w:cs="Arial"/>
          <w:color w:val="808080" w:themeColor="background1" w:themeShade="80"/>
          <w:szCs w:val="24"/>
        </w:rPr>
        <w:t xml:space="preserve"> If the </w:t>
      </w:r>
      <w:r w:rsidR="00EC315C">
        <w:rPr>
          <w:rFonts w:cs="Arial"/>
          <w:color w:val="808080" w:themeColor="background1" w:themeShade="80"/>
          <w:szCs w:val="24"/>
        </w:rPr>
        <w:t>3</w:t>
      </w:r>
      <w:r w:rsidR="00EC315C" w:rsidRPr="001F7A11">
        <w:rPr>
          <w:rFonts w:cs="Arial"/>
          <w:color w:val="808080" w:themeColor="background1" w:themeShade="80"/>
          <w:szCs w:val="24"/>
          <w:vertAlign w:val="superscript"/>
        </w:rPr>
        <w:t>rd</w:t>
      </w:r>
      <w:r w:rsidR="00EC315C">
        <w:rPr>
          <w:rFonts w:cs="Arial"/>
          <w:color w:val="808080" w:themeColor="background1" w:themeShade="80"/>
          <w:szCs w:val="24"/>
        </w:rPr>
        <w:t xml:space="preserve"> party organisation breaches the conditions and if personal data is involved, this would be reported to the ICO and appropriate action taken.</w:t>
      </w:r>
      <w:r w:rsidR="002A6A5C" w:rsidRPr="005A3136">
        <w:rPr>
          <w:rFonts w:cs="Arial"/>
          <w:color w:val="808080" w:themeColor="background1" w:themeShade="80"/>
          <w:szCs w:val="24"/>
        </w:rPr>
        <w:t xml:space="preserve"> </w:t>
      </w:r>
      <w:r w:rsidR="00C96E0F" w:rsidRPr="005A3136">
        <w:rPr>
          <w:rFonts w:cs="Arial"/>
          <w:color w:val="808080" w:themeColor="background1" w:themeShade="80"/>
          <w:szCs w:val="24"/>
        </w:rPr>
        <w:t>This would be clearly documented in an agreement which would set out the</w:t>
      </w:r>
      <w:r w:rsidR="007C0A26" w:rsidRPr="005A3136">
        <w:rPr>
          <w:rFonts w:cs="Arial"/>
          <w:color w:val="808080" w:themeColor="background1" w:themeShade="80"/>
          <w:szCs w:val="24"/>
        </w:rPr>
        <w:t xml:space="preserve"> scope of decision making </w:t>
      </w:r>
      <w:r w:rsidR="00C96E0F" w:rsidRPr="005A3136">
        <w:rPr>
          <w:rFonts w:cs="Arial"/>
          <w:color w:val="808080" w:themeColor="background1" w:themeShade="80"/>
          <w:szCs w:val="24"/>
        </w:rPr>
        <w:t xml:space="preserve">and controls on data processing. </w:t>
      </w:r>
    </w:p>
    <w:p w14:paraId="2244B6EE" w14:textId="77777777" w:rsidR="002F1BD1" w:rsidRPr="005A3136" w:rsidRDefault="002F1BD1" w:rsidP="005E5BB7">
      <w:pPr>
        <w:spacing w:before="0" w:after="0" w:line="276" w:lineRule="auto"/>
        <w:jc w:val="both"/>
        <w:rPr>
          <w:rFonts w:cs="Arial"/>
          <w:color w:val="808080" w:themeColor="background1" w:themeShade="80"/>
          <w:szCs w:val="24"/>
        </w:rPr>
      </w:pPr>
    </w:p>
    <w:p w14:paraId="412A7E69" w14:textId="77777777" w:rsidR="003A152C" w:rsidRPr="005A3136" w:rsidRDefault="003A152C"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DN – Include reference to the confidentiality requirements in above para (</w:t>
      </w:r>
      <w:r w:rsidR="00500242">
        <w:rPr>
          <w:rFonts w:cs="Arial"/>
          <w:color w:val="808080" w:themeColor="background1" w:themeShade="80"/>
          <w:szCs w:val="24"/>
        </w:rPr>
        <w:t>1.13.1.9)</w:t>
      </w:r>
    </w:p>
    <w:p w14:paraId="16405398" w14:textId="77777777" w:rsidR="007C0A26" w:rsidRPr="005A3136" w:rsidRDefault="007C0A26" w:rsidP="005E5BB7">
      <w:pPr>
        <w:spacing w:before="0" w:after="0" w:line="276" w:lineRule="auto"/>
        <w:jc w:val="both"/>
        <w:rPr>
          <w:rFonts w:cs="Arial"/>
          <w:color w:val="808080" w:themeColor="background1" w:themeShade="80"/>
          <w:szCs w:val="24"/>
        </w:rPr>
      </w:pPr>
    </w:p>
    <w:p w14:paraId="3CD3B2B4" w14:textId="77777777" w:rsidR="0039221C" w:rsidRPr="005A3136" w:rsidRDefault="0039221C" w:rsidP="005E5BB7">
      <w:pPr>
        <w:spacing w:before="0" w:after="0" w:line="276" w:lineRule="auto"/>
        <w:jc w:val="both"/>
        <w:rPr>
          <w:rFonts w:cs="Arial"/>
          <w:color w:val="808080" w:themeColor="background1" w:themeShade="80"/>
          <w:szCs w:val="24"/>
        </w:rPr>
      </w:pPr>
      <w:bookmarkStart w:id="61" w:name="_Hlk531286837"/>
      <w:r w:rsidRPr="005A3136">
        <w:rPr>
          <w:rFonts w:cs="Arial"/>
          <w:color w:val="808080" w:themeColor="background1" w:themeShade="80"/>
          <w:szCs w:val="24"/>
        </w:rPr>
        <w:t>The SUDGT</w:t>
      </w:r>
      <w:r w:rsidR="00C96E0F" w:rsidRPr="005A3136">
        <w:rPr>
          <w:rFonts w:cs="Arial"/>
          <w:color w:val="808080" w:themeColor="background1" w:themeShade="80"/>
          <w:szCs w:val="24"/>
        </w:rPr>
        <w:t xml:space="preserve"> has been developed by NHS England </w:t>
      </w:r>
      <w:r w:rsidR="00CD0EC5" w:rsidRPr="005A3136">
        <w:rPr>
          <w:rFonts w:cs="Arial"/>
          <w:color w:val="808080" w:themeColor="background1" w:themeShade="80"/>
          <w:szCs w:val="24"/>
        </w:rPr>
        <w:t>to support Sustainable Transformation Partnerships/Integrated Care Systems</w:t>
      </w:r>
      <w:r w:rsidR="00FD7492" w:rsidRPr="005A3136">
        <w:rPr>
          <w:rFonts w:cs="Arial"/>
          <w:color w:val="808080" w:themeColor="background1" w:themeShade="80"/>
          <w:szCs w:val="24"/>
        </w:rPr>
        <w:t xml:space="preserve"> </w:t>
      </w:r>
      <w:r w:rsidR="00895A79" w:rsidRPr="005A3136">
        <w:rPr>
          <w:rFonts w:cs="Arial"/>
          <w:color w:val="808080" w:themeColor="background1" w:themeShade="80"/>
          <w:szCs w:val="24"/>
        </w:rPr>
        <w:t>(</w:t>
      </w:r>
      <w:r w:rsidR="00821900" w:rsidRPr="005A3136">
        <w:rPr>
          <w:rFonts w:cs="Arial"/>
          <w:color w:val="808080" w:themeColor="background1" w:themeShade="80"/>
          <w:szCs w:val="24"/>
        </w:rPr>
        <w:t>STPs/</w:t>
      </w:r>
      <w:r w:rsidR="00895A79" w:rsidRPr="005A3136">
        <w:rPr>
          <w:rFonts w:cs="Arial"/>
          <w:color w:val="808080" w:themeColor="background1" w:themeShade="80"/>
          <w:szCs w:val="24"/>
        </w:rPr>
        <w:t>ICS</w:t>
      </w:r>
      <w:r w:rsidR="00821900" w:rsidRPr="005A3136">
        <w:rPr>
          <w:rFonts w:cs="Arial"/>
          <w:color w:val="808080" w:themeColor="background1" w:themeShade="80"/>
          <w:szCs w:val="24"/>
        </w:rPr>
        <w:t>s</w:t>
      </w:r>
      <w:r w:rsidR="00895A79" w:rsidRPr="005A3136">
        <w:rPr>
          <w:rFonts w:cs="Arial"/>
          <w:color w:val="808080" w:themeColor="background1" w:themeShade="80"/>
          <w:szCs w:val="24"/>
        </w:rPr>
        <w:t xml:space="preserve">) </w:t>
      </w:r>
      <w:r w:rsidR="00CD0EC5" w:rsidRPr="005A3136">
        <w:rPr>
          <w:rFonts w:cs="Arial"/>
          <w:color w:val="808080" w:themeColor="background1" w:themeShade="80"/>
          <w:szCs w:val="24"/>
        </w:rPr>
        <w:t>to implement robust governance processes to support their use of data, focused on data required for secondary purposes</w:t>
      </w:r>
      <w:r w:rsidRPr="005A3136">
        <w:rPr>
          <w:rFonts w:cs="Arial"/>
          <w:color w:val="808080" w:themeColor="background1" w:themeShade="80"/>
          <w:szCs w:val="24"/>
        </w:rPr>
        <w:t xml:space="preserve"> (see Appendix </w:t>
      </w:r>
      <w:r w:rsidR="00741463" w:rsidRPr="005A3136">
        <w:rPr>
          <w:rFonts w:cs="Arial"/>
          <w:color w:val="808080" w:themeColor="background1" w:themeShade="80"/>
          <w:szCs w:val="24"/>
        </w:rPr>
        <w:t>H</w:t>
      </w:r>
      <w:r w:rsidRPr="005A3136">
        <w:rPr>
          <w:rFonts w:cs="Arial"/>
          <w:color w:val="808080" w:themeColor="background1" w:themeShade="80"/>
          <w:szCs w:val="24"/>
        </w:rPr>
        <w:t xml:space="preserve"> (2.1)</w:t>
      </w:r>
      <w:r w:rsidR="00141612" w:rsidRPr="005A3136">
        <w:rPr>
          <w:rFonts w:cs="Arial"/>
          <w:color w:val="808080" w:themeColor="background1" w:themeShade="80"/>
          <w:szCs w:val="24"/>
        </w:rPr>
        <w:t>)</w:t>
      </w:r>
      <w:r w:rsidRPr="005A3136">
        <w:rPr>
          <w:rFonts w:cs="Arial"/>
          <w:color w:val="808080" w:themeColor="background1" w:themeShade="80"/>
          <w:szCs w:val="24"/>
        </w:rPr>
        <w:t>.</w:t>
      </w:r>
    </w:p>
    <w:p w14:paraId="207B7DFB" w14:textId="77777777" w:rsidR="0039221C" w:rsidRPr="005A3136" w:rsidRDefault="0039221C" w:rsidP="005E5BB7">
      <w:pPr>
        <w:spacing w:before="0" w:after="0" w:line="276" w:lineRule="auto"/>
        <w:jc w:val="both"/>
        <w:rPr>
          <w:rFonts w:cs="Arial"/>
          <w:color w:val="808080" w:themeColor="background1" w:themeShade="80"/>
          <w:szCs w:val="24"/>
        </w:rPr>
      </w:pPr>
    </w:p>
    <w:p w14:paraId="3C9CD0D0" w14:textId="0830840A" w:rsidR="007C0A26" w:rsidRPr="005A3136" w:rsidRDefault="001201B4"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 </w:t>
      </w:r>
      <w:r w:rsidR="008F722E" w:rsidRPr="005A3136">
        <w:rPr>
          <w:rFonts w:cs="Arial"/>
          <w:color w:val="808080" w:themeColor="background1" w:themeShade="80"/>
          <w:szCs w:val="24"/>
        </w:rPr>
        <w:t xml:space="preserve">SUDGT </w:t>
      </w:r>
      <w:r w:rsidRPr="005A3136">
        <w:rPr>
          <w:rFonts w:cs="Arial"/>
          <w:color w:val="808080" w:themeColor="background1" w:themeShade="80"/>
          <w:szCs w:val="24"/>
        </w:rPr>
        <w:t xml:space="preserve">includes </w:t>
      </w:r>
      <w:r w:rsidR="0039221C" w:rsidRPr="005A3136">
        <w:rPr>
          <w:rFonts w:cs="Arial"/>
          <w:color w:val="808080" w:themeColor="background1" w:themeShade="80"/>
          <w:szCs w:val="24"/>
        </w:rPr>
        <w:t xml:space="preserve">a </w:t>
      </w:r>
      <w:r w:rsidRPr="005A3136">
        <w:rPr>
          <w:rFonts w:cs="Arial"/>
          <w:color w:val="808080" w:themeColor="background1" w:themeShade="80"/>
          <w:szCs w:val="24"/>
        </w:rPr>
        <w:t>matrices document which lists the statutory duty/lawful basis for processing of each organisation type, mapped to the type of activities which need to be undertaken to meet them.  It also maps these to the type of data which may be required.</w:t>
      </w:r>
      <w:r w:rsidR="00141612" w:rsidRPr="005A3136">
        <w:rPr>
          <w:rFonts w:cs="Arial"/>
          <w:color w:val="808080" w:themeColor="background1" w:themeShade="80"/>
          <w:szCs w:val="24"/>
        </w:rPr>
        <w:t xml:space="preserve">  It also proposes contractual and data</w:t>
      </w:r>
      <w:r w:rsidRPr="005A3136">
        <w:rPr>
          <w:rFonts w:cs="Arial"/>
          <w:color w:val="808080" w:themeColor="background1" w:themeShade="80"/>
          <w:szCs w:val="24"/>
        </w:rPr>
        <w:t xml:space="preserve"> processing</w:t>
      </w:r>
      <w:r w:rsidR="00141612" w:rsidRPr="005A3136">
        <w:rPr>
          <w:rFonts w:cs="Arial"/>
          <w:color w:val="808080" w:themeColor="background1" w:themeShade="80"/>
          <w:szCs w:val="24"/>
        </w:rPr>
        <w:t xml:space="preserve"> models to enable delegation of secondary </w:t>
      </w:r>
      <w:r w:rsidR="00F34366" w:rsidRPr="005A3136">
        <w:rPr>
          <w:rFonts w:cs="Arial"/>
          <w:color w:val="808080" w:themeColor="background1" w:themeShade="80"/>
          <w:szCs w:val="24"/>
        </w:rPr>
        <w:t>purpose</w:t>
      </w:r>
      <w:r w:rsidR="00FD7492" w:rsidRPr="005A3136">
        <w:rPr>
          <w:rFonts w:cs="Arial"/>
          <w:color w:val="808080" w:themeColor="background1" w:themeShade="80"/>
          <w:szCs w:val="24"/>
        </w:rPr>
        <w:t xml:space="preserve"> activities to providers</w:t>
      </w:r>
      <w:r w:rsidR="00C6710B" w:rsidRPr="005A3136">
        <w:rPr>
          <w:rFonts w:cs="Arial"/>
          <w:color w:val="808080" w:themeColor="background1" w:themeShade="80"/>
          <w:szCs w:val="24"/>
        </w:rPr>
        <w:t xml:space="preserve">.  Use of the </w:t>
      </w:r>
      <w:r w:rsidR="00F90524" w:rsidRPr="005A3136">
        <w:rPr>
          <w:rFonts w:cs="Arial"/>
          <w:color w:val="808080" w:themeColor="background1" w:themeShade="80"/>
          <w:szCs w:val="24"/>
        </w:rPr>
        <w:t>SUDGT considers</w:t>
      </w:r>
      <w:r w:rsidR="00C6710B" w:rsidRPr="005A3136">
        <w:rPr>
          <w:rFonts w:cs="Arial"/>
          <w:color w:val="808080" w:themeColor="background1" w:themeShade="80"/>
          <w:szCs w:val="24"/>
        </w:rPr>
        <w:t xml:space="preserve"> and builds upon </w:t>
      </w:r>
      <w:r w:rsidR="00FD7492" w:rsidRPr="005A3136">
        <w:rPr>
          <w:rFonts w:cs="Arial"/>
          <w:color w:val="808080" w:themeColor="background1" w:themeShade="80"/>
          <w:szCs w:val="24"/>
        </w:rPr>
        <w:t>the legal and governance considerations required for compliance and assurance</w:t>
      </w:r>
      <w:r w:rsidR="00C6710B" w:rsidRPr="005A3136">
        <w:rPr>
          <w:rFonts w:cs="Arial"/>
          <w:color w:val="808080" w:themeColor="background1" w:themeShade="80"/>
          <w:szCs w:val="24"/>
        </w:rPr>
        <w:t xml:space="preserve"> with data protection and privacy.</w:t>
      </w:r>
      <w:r w:rsidR="00CD0EC5" w:rsidRPr="005A3136">
        <w:rPr>
          <w:rFonts w:cs="Arial"/>
          <w:color w:val="808080" w:themeColor="background1" w:themeShade="80"/>
          <w:szCs w:val="24"/>
        </w:rPr>
        <w:t xml:space="preserve"> The tool takes the user</w:t>
      </w:r>
      <w:r w:rsidR="00821900" w:rsidRPr="005A3136">
        <w:rPr>
          <w:rFonts w:cs="Arial"/>
          <w:color w:val="808080" w:themeColor="background1" w:themeShade="80"/>
          <w:szCs w:val="24"/>
        </w:rPr>
        <w:t>/</w:t>
      </w:r>
      <w:r w:rsidR="00CD0EC5" w:rsidRPr="005A3136">
        <w:rPr>
          <w:rFonts w:cs="Arial"/>
          <w:color w:val="808080" w:themeColor="background1" w:themeShade="80"/>
          <w:szCs w:val="24"/>
        </w:rPr>
        <w:t xml:space="preserve">s through </w:t>
      </w:r>
      <w:r w:rsidR="00476F7E">
        <w:rPr>
          <w:rFonts w:cs="Arial"/>
          <w:color w:val="808080" w:themeColor="background1" w:themeShade="80"/>
          <w:szCs w:val="24"/>
        </w:rPr>
        <w:t>6</w:t>
      </w:r>
      <w:r w:rsidR="00CD0EC5" w:rsidRPr="005A3136">
        <w:rPr>
          <w:rFonts w:cs="Arial"/>
          <w:color w:val="808080" w:themeColor="background1" w:themeShade="80"/>
          <w:szCs w:val="24"/>
        </w:rPr>
        <w:t xml:space="preserve"> steps as </w:t>
      </w:r>
      <w:r w:rsidR="008F722E" w:rsidRPr="005A3136">
        <w:rPr>
          <w:rFonts w:cs="Arial"/>
          <w:color w:val="808080" w:themeColor="background1" w:themeShade="80"/>
          <w:szCs w:val="24"/>
        </w:rPr>
        <w:t>shown on the slide below:</w:t>
      </w:r>
    </w:p>
    <w:bookmarkEnd w:id="61"/>
    <w:p w14:paraId="6703921A" w14:textId="77777777" w:rsidR="008F722E" w:rsidRPr="005A3136" w:rsidRDefault="00476F7E" w:rsidP="00F90524">
      <w:pPr>
        <w:jc w:val="both"/>
        <w:rPr>
          <w:rFonts w:cs="Arial"/>
          <w:color w:val="808080" w:themeColor="background1" w:themeShade="80"/>
          <w:szCs w:val="24"/>
        </w:rPr>
      </w:pPr>
      <w:r w:rsidRPr="00476F7E">
        <w:lastRenderedPageBreak/>
        <w:t xml:space="preserve"> </w:t>
      </w:r>
      <w:r>
        <w:rPr>
          <w:noProof/>
        </w:rPr>
        <w:drawing>
          <wp:inline distT="0" distB="0" distL="0" distR="0" wp14:anchorId="21901AF2" wp14:editId="30666891">
            <wp:extent cx="6210300" cy="20466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10300" cy="2046693"/>
                    </a:xfrm>
                    <a:prstGeom prst="rect">
                      <a:avLst/>
                    </a:prstGeom>
                    <a:noFill/>
                    <a:ln>
                      <a:noFill/>
                    </a:ln>
                  </pic:spPr>
                </pic:pic>
              </a:graphicData>
            </a:graphic>
          </wp:inline>
        </w:drawing>
      </w:r>
    </w:p>
    <w:p w14:paraId="0F08E7C9" w14:textId="77777777" w:rsidR="00041859" w:rsidRPr="005A3136" w:rsidRDefault="00041859" w:rsidP="00F90524">
      <w:pPr>
        <w:jc w:val="both"/>
        <w:rPr>
          <w:rFonts w:cs="Arial"/>
          <w:b/>
          <w:color w:val="808080" w:themeColor="background1" w:themeShade="80"/>
          <w:szCs w:val="24"/>
        </w:rPr>
      </w:pPr>
    </w:p>
    <w:p w14:paraId="63B0B28E" w14:textId="77777777" w:rsidR="0084368E" w:rsidRPr="005A3136" w:rsidRDefault="0084368E" w:rsidP="005E5BB7">
      <w:pPr>
        <w:spacing w:before="0" w:after="0" w:line="276" w:lineRule="auto"/>
        <w:jc w:val="both"/>
        <w:rPr>
          <w:rFonts w:cs="Arial"/>
          <w:b/>
          <w:color w:val="808080" w:themeColor="background1" w:themeShade="80"/>
          <w:szCs w:val="24"/>
        </w:rPr>
      </w:pPr>
      <w:r w:rsidRPr="005A3136">
        <w:rPr>
          <w:rFonts w:cs="Arial"/>
          <w:b/>
          <w:color w:val="808080" w:themeColor="background1" w:themeShade="80"/>
          <w:szCs w:val="24"/>
        </w:rPr>
        <w:t>Example</w:t>
      </w:r>
    </w:p>
    <w:p w14:paraId="0CBED5B2" w14:textId="77777777" w:rsidR="00157CA3" w:rsidRPr="005A3136" w:rsidRDefault="0084368E"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Consider any additional requirements for sharing </w:t>
      </w:r>
      <w:r w:rsidR="009E1045" w:rsidRPr="005A3136">
        <w:rPr>
          <w:rFonts w:cs="Arial"/>
          <w:color w:val="808080" w:themeColor="background1" w:themeShade="80"/>
          <w:szCs w:val="24"/>
        </w:rPr>
        <w:t>de-identified</w:t>
      </w:r>
      <w:r w:rsidRPr="005A3136">
        <w:rPr>
          <w:rFonts w:cs="Arial"/>
          <w:color w:val="808080" w:themeColor="background1" w:themeShade="80"/>
          <w:szCs w:val="24"/>
        </w:rPr>
        <w:t xml:space="preserve"> data across</w:t>
      </w:r>
      <w:r w:rsidR="008F722E" w:rsidRPr="005A3136">
        <w:rPr>
          <w:rFonts w:cs="Arial"/>
          <w:color w:val="808080" w:themeColor="background1" w:themeShade="80"/>
          <w:szCs w:val="24"/>
        </w:rPr>
        <w:t>,</w:t>
      </w:r>
      <w:r w:rsidRPr="005A3136">
        <w:rPr>
          <w:rFonts w:cs="Arial"/>
          <w:color w:val="808080" w:themeColor="background1" w:themeShade="80"/>
          <w:szCs w:val="24"/>
        </w:rPr>
        <w:t xml:space="preserve"> within and outside geographical boundaries to improve the service and out</w:t>
      </w:r>
      <w:r w:rsidR="00C96E0F" w:rsidRPr="005A3136">
        <w:rPr>
          <w:rFonts w:cs="Arial"/>
          <w:color w:val="808080" w:themeColor="background1" w:themeShade="80"/>
          <w:szCs w:val="24"/>
        </w:rPr>
        <w:t>c</w:t>
      </w:r>
      <w:r w:rsidRPr="005A3136">
        <w:rPr>
          <w:rFonts w:cs="Arial"/>
          <w:color w:val="808080" w:themeColor="background1" w:themeShade="80"/>
          <w:szCs w:val="24"/>
        </w:rPr>
        <w:t>omes (secondary uses)</w:t>
      </w:r>
      <w:r w:rsidR="0039221C" w:rsidRPr="005A3136">
        <w:rPr>
          <w:rFonts w:cs="Arial"/>
          <w:color w:val="808080" w:themeColor="background1" w:themeShade="80"/>
          <w:szCs w:val="24"/>
        </w:rPr>
        <w:t>.</w:t>
      </w:r>
    </w:p>
    <w:p w14:paraId="1018B48E" w14:textId="77777777" w:rsidR="00CD0EC5" w:rsidRPr="005A3136" w:rsidRDefault="00CD0EC5" w:rsidP="005E5BB7">
      <w:pPr>
        <w:spacing w:before="0" w:after="0" w:line="276" w:lineRule="auto"/>
        <w:jc w:val="both"/>
        <w:rPr>
          <w:rFonts w:cs="Arial"/>
          <w:color w:val="808080" w:themeColor="background1" w:themeShade="80"/>
          <w:szCs w:val="24"/>
        </w:rPr>
      </w:pPr>
    </w:p>
    <w:p w14:paraId="1ED3697B" w14:textId="30F56F87" w:rsidR="001201B4" w:rsidRPr="002F4431" w:rsidRDefault="00CD0EC5" w:rsidP="005E5BB7">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NHS England</w:t>
      </w:r>
      <w:r w:rsidR="00476F7E">
        <w:rPr>
          <w:rFonts w:cs="Arial"/>
          <w:color w:val="808080" w:themeColor="background1" w:themeShade="80"/>
          <w:szCs w:val="24"/>
        </w:rPr>
        <w:t xml:space="preserve"> have developed a web version of the </w:t>
      </w:r>
      <w:r w:rsidRPr="005A3136">
        <w:rPr>
          <w:rFonts w:cs="Arial"/>
          <w:color w:val="808080" w:themeColor="background1" w:themeShade="80"/>
          <w:szCs w:val="24"/>
        </w:rPr>
        <w:t>SUDGT</w:t>
      </w:r>
      <w:r w:rsidR="008F722E" w:rsidRPr="005A3136">
        <w:rPr>
          <w:rFonts w:cs="Arial"/>
          <w:color w:val="808080" w:themeColor="background1" w:themeShade="80"/>
          <w:szCs w:val="24"/>
        </w:rPr>
        <w:t>.  The first iteration of the tool</w:t>
      </w:r>
      <w:r w:rsidRPr="005A3136">
        <w:rPr>
          <w:rFonts w:cs="Arial"/>
          <w:color w:val="808080" w:themeColor="background1" w:themeShade="80"/>
          <w:szCs w:val="24"/>
        </w:rPr>
        <w:t xml:space="preserve"> w</w:t>
      </w:r>
      <w:r w:rsidR="00821900" w:rsidRPr="005A3136">
        <w:rPr>
          <w:rFonts w:cs="Arial"/>
          <w:color w:val="808080" w:themeColor="background1" w:themeShade="80"/>
          <w:szCs w:val="24"/>
        </w:rPr>
        <w:t>as</w:t>
      </w:r>
      <w:r w:rsidRPr="005A3136">
        <w:rPr>
          <w:rFonts w:cs="Arial"/>
          <w:color w:val="808080" w:themeColor="background1" w:themeShade="80"/>
          <w:szCs w:val="24"/>
        </w:rPr>
        <w:t xml:space="preserve"> made available </w:t>
      </w:r>
      <w:r w:rsidR="00821900" w:rsidRPr="005A3136">
        <w:rPr>
          <w:rFonts w:cs="Arial"/>
          <w:color w:val="808080" w:themeColor="background1" w:themeShade="80"/>
          <w:szCs w:val="24"/>
        </w:rPr>
        <w:t xml:space="preserve">at </w:t>
      </w:r>
      <w:r w:rsidRPr="005A3136">
        <w:rPr>
          <w:rFonts w:cs="Arial"/>
          <w:color w:val="808080" w:themeColor="background1" w:themeShade="80"/>
          <w:szCs w:val="24"/>
        </w:rPr>
        <w:t xml:space="preserve">the </w:t>
      </w:r>
      <w:r w:rsidR="00821900" w:rsidRPr="005A3136">
        <w:rPr>
          <w:rFonts w:cs="Arial"/>
          <w:color w:val="808080" w:themeColor="background1" w:themeShade="80"/>
          <w:szCs w:val="24"/>
        </w:rPr>
        <w:t>beginning of January 2019</w:t>
      </w:r>
      <w:r w:rsidR="00EF4E34" w:rsidRPr="005A3136">
        <w:rPr>
          <w:rFonts w:cs="Arial"/>
          <w:color w:val="808080" w:themeColor="background1" w:themeShade="80"/>
          <w:szCs w:val="24"/>
        </w:rPr>
        <w:t xml:space="preserve">.  </w:t>
      </w:r>
      <w:r w:rsidR="00476F7E">
        <w:rPr>
          <w:rFonts w:cs="Arial"/>
          <w:color w:val="808080" w:themeColor="background1" w:themeShade="80"/>
          <w:szCs w:val="24"/>
        </w:rPr>
        <w:t xml:space="preserve">NHS England are working with South Central and West CSU who are </w:t>
      </w:r>
      <w:r w:rsidRPr="005A3136">
        <w:rPr>
          <w:rFonts w:cs="Arial"/>
          <w:color w:val="808080" w:themeColor="background1" w:themeShade="80"/>
          <w:szCs w:val="24"/>
        </w:rPr>
        <w:t xml:space="preserve">training </w:t>
      </w:r>
      <w:r w:rsidR="00DC3053" w:rsidRPr="005A3136">
        <w:rPr>
          <w:rFonts w:cs="Arial"/>
          <w:color w:val="808080" w:themeColor="background1" w:themeShade="80"/>
          <w:szCs w:val="24"/>
        </w:rPr>
        <w:t xml:space="preserve">information governance </w:t>
      </w:r>
      <w:r w:rsidRPr="005A3136">
        <w:rPr>
          <w:rFonts w:cs="Arial"/>
          <w:color w:val="808080" w:themeColor="background1" w:themeShade="80"/>
          <w:szCs w:val="24"/>
        </w:rPr>
        <w:t>and</w:t>
      </w:r>
      <w:r w:rsidR="00457FB9" w:rsidRPr="005A3136">
        <w:rPr>
          <w:rFonts w:cs="Arial"/>
          <w:color w:val="808080" w:themeColor="background1" w:themeShade="80"/>
          <w:szCs w:val="24"/>
        </w:rPr>
        <w:t xml:space="preserve"> BI (</w:t>
      </w:r>
      <w:r w:rsidRPr="005A3136">
        <w:rPr>
          <w:rFonts w:cs="Arial"/>
          <w:color w:val="808080" w:themeColor="background1" w:themeShade="80"/>
          <w:szCs w:val="24"/>
        </w:rPr>
        <w:t>B</w:t>
      </w:r>
      <w:r w:rsidR="00457FB9" w:rsidRPr="005A3136">
        <w:rPr>
          <w:rFonts w:cs="Arial"/>
          <w:color w:val="808080" w:themeColor="background1" w:themeShade="80"/>
          <w:szCs w:val="24"/>
        </w:rPr>
        <w:t xml:space="preserve">usiness </w:t>
      </w:r>
      <w:r w:rsidRPr="005A3136">
        <w:rPr>
          <w:rFonts w:cs="Arial"/>
          <w:color w:val="808080" w:themeColor="background1" w:themeShade="80"/>
          <w:szCs w:val="24"/>
        </w:rPr>
        <w:t>I</w:t>
      </w:r>
      <w:r w:rsidR="00457FB9" w:rsidRPr="005A3136">
        <w:rPr>
          <w:rFonts w:cs="Arial"/>
          <w:color w:val="808080" w:themeColor="background1" w:themeShade="80"/>
          <w:szCs w:val="24"/>
        </w:rPr>
        <w:t>ntelligence)</w:t>
      </w:r>
      <w:r w:rsidRPr="005A3136">
        <w:rPr>
          <w:rFonts w:cs="Arial"/>
          <w:color w:val="808080" w:themeColor="background1" w:themeShade="80"/>
          <w:szCs w:val="24"/>
        </w:rPr>
        <w:t xml:space="preserve"> Leads within each NHS</w:t>
      </w:r>
      <w:r w:rsidR="00DC3053" w:rsidRPr="005A3136">
        <w:rPr>
          <w:rFonts w:cs="Arial"/>
          <w:color w:val="808080" w:themeColor="background1" w:themeShade="80"/>
          <w:szCs w:val="24"/>
        </w:rPr>
        <w:t xml:space="preserve"> </w:t>
      </w:r>
      <w:r w:rsidRPr="005A3136">
        <w:rPr>
          <w:rFonts w:cs="Arial"/>
          <w:color w:val="808080" w:themeColor="background1" w:themeShade="80"/>
          <w:szCs w:val="24"/>
        </w:rPr>
        <w:t>E</w:t>
      </w:r>
      <w:r w:rsidR="00DC3053" w:rsidRPr="005A3136">
        <w:rPr>
          <w:rFonts w:cs="Arial"/>
          <w:color w:val="808080" w:themeColor="background1" w:themeShade="80"/>
          <w:szCs w:val="24"/>
        </w:rPr>
        <w:t>ngland</w:t>
      </w:r>
      <w:r w:rsidRPr="005A3136">
        <w:rPr>
          <w:rFonts w:cs="Arial"/>
          <w:color w:val="808080" w:themeColor="background1" w:themeShade="80"/>
          <w:szCs w:val="24"/>
        </w:rPr>
        <w:t xml:space="preserve"> CSU to ensure they can support STP/</w:t>
      </w:r>
      <w:r w:rsidR="00900A8A" w:rsidRPr="005A3136">
        <w:rPr>
          <w:rFonts w:cs="Arial"/>
          <w:color w:val="808080" w:themeColor="background1" w:themeShade="80"/>
          <w:szCs w:val="24"/>
        </w:rPr>
        <w:t xml:space="preserve">ICS </w:t>
      </w:r>
      <w:r w:rsidRPr="005A3136">
        <w:rPr>
          <w:rFonts w:cs="Arial"/>
          <w:color w:val="808080" w:themeColor="background1" w:themeShade="80"/>
          <w:szCs w:val="24"/>
        </w:rPr>
        <w:t>to use</w:t>
      </w:r>
      <w:r w:rsidR="00476F7E">
        <w:rPr>
          <w:rFonts w:cs="Arial"/>
          <w:color w:val="808080" w:themeColor="background1" w:themeShade="80"/>
          <w:szCs w:val="24"/>
        </w:rPr>
        <w:t xml:space="preserve"> the tool</w:t>
      </w:r>
      <w:r w:rsidRPr="005A3136">
        <w:rPr>
          <w:rFonts w:cs="Arial"/>
          <w:color w:val="808080" w:themeColor="background1" w:themeShade="80"/>
          <w:szCs w:val="24"/>
        </w:rPr>
        <w:t xml:space="preserve"> and subsequently set up their governance boards appropriately.  Use of the</w:t>
      </w:r>
      <w:r w:rsidR="00476F7E">
        <w:rPr>
          <w:rFonts w:cs="Arial"/>
          <w:color w:val="808080" w:themeColor="background1" w:themeShade="80"/>
          <w:szCs w:val="24"/>
        </w:rPr>
        <w:t xml:space="preserve"> </w:t>
      </w:r>
      <w:r w:rsidR="00476F7E" w:rsidRPr="002F4431">
        <w:rPr>
          <w:rFonts w:cs="Arial"/>
          <w:color w:val="808080" w:themeColor="background1" w:themeShade="80"/>
          <w:szCs w:val="24"/>
        </w:rPr>
        <w:t>SUDGT</w:t>
      </w:r>
      <w:r w:rsidRPr="002F4431">
        <w:rPr>
          <w:rFonts w:cs="Arial"/>
          <w:color w:val="808080" w:themeColor="background1" w:themeShade="80"/>
          <w:szCs w:val="24"/>
        </w:rPr>
        <w:t xml:space="preserve"> will also ensure that appropriate infrastructure models for </w:t>
      </w:r>
      <w:r w:rsidR="001201B4" w:rsidRPr="002F4431">
        <w:rPr>
          <w:rFonts w:cs="Arial"/>
          <w:color w:val="808080" w:themeColor="background1" w:themeShade="80"/>
          <w:szCs w:val="24"/>
        </w:rPr>
        <w:t>the de-identification of data are considered, as well as development of robust Data Protection Impact Assessments, contracts, data processing agreements etc</w:t>
      </w:r>
      <w:r w:rsidR="007A39A9" w:rsidRPr="002F4431">
        <w:rPr>
          <w:rFonts w:cs="Arial"/>
          <w:color w:val="808080" w:themeColor="background1" w:themeShade="80"/>
          <w:szCs w:val="24"/>
        </w:rPr>
        <w:t>.</w:t>
      </w:r>
      <w:r w:rsidR="001201B4" w:rsidRPr="002F4431">
        <w:rPr>
          <w:rFonts w:cs="Arial"/>
          <w:color w:val="808080" w:themeColor="background1" w:themeShade="80"/>
          <w:szCs w:val="24"/>
        </w:rPr>
        <w:t xml:space="preserve"> are completed. </w:t>
      </w:r>
    </w:p>
    <w:p w14:paraId="2F824882" w14:textId="77777777" w:rsidR="001201B4" w:rsidRPr="002F4431" w:rsidRDefault="001201B4" w:rsidP="005E5BB7">
      <w:pPr>
        <w:spacing w:before="0" w:after="0" w:line="276" w:lineRule="auto"/>
        <w:jc w:val="both"/>
        <w:rPr>
          <w:rFonts w:cs="Arial"/>
          <w:color w:val="808080" w:themeColor="background1" w:themeShade="80"/>
          <w:szCs w:val="24"/>
        </w:rPr>
      </w:pPr>
    </w:p>
    <w:p w14:paraId="34247F3D" w14:textId="77777777" w:rsidR="00900A8A" w:rsidRPr="002F4431" w:rsidRDefault="00900A8A" w:rsidP="00900A8A">
      <w:pPr>
        <w:spacing w:before="0" w:after="0" w:line="276" w:lineRule="auto"/>
        <w:jc w:val="both"/>
        <w:rPr>
          <w:rFonts w:cs="Arial"/>
          <w:color w:val="808080" w:themeColor="background1" w:themeShade="80"/>
          <w:szCs w:val="24"/>
        </w:rPr>
      </w:pPr>
      <w:r w:rsidRPr="002F4431">
        <w:rPr>
          <w:rFonts w:cs="Arial"/>
          <w:color w:val="808080" w:themeColor="background1" w:themeShade="80"/>
          <w:szCs w:val="24"/>
        </w:rPr>
        <w:t xml:space="preserve">A list of each </w:t>
      </w:r>
      <w:r w:rsidR="00DC3053" w:rsidRPr="002F4431">
        <w:rPr>
          <w:rFonts w:cs="Arial"/>
          <w:color w:val="808080" w:themeColor="background1" w:themeShade="80"/>
          <w:szCs w:val="24"/>
        </w:rPr>
        <w:t>information governance</w:t>
      </w:r>
      <w:r w:rsidRPr="002F4431">
        <w:rPr>
          <w:rFonts w:cs="Arial"/>
          <w:color w:val="808080" w:themeColor="background1" w:themeShade="80"/>
          <w:szCs w:val="24"/>
        </w:rPr>
        <w:t xml:space="preserve">/BI Lead associated with </w:t>
      </w:r>
      <w:r w:rsidR="00E03A83" w:rsidRPr="002F4431">
        <w:rPr>
          <w:rFonts w:cs="Arial"/>
          <w:color w:val="808080" w:themeColor="background1" w:themeShade="80"/>
          <w:szCs w:val="24"/>
        </w:rPr>
        <w:t>STP</w:t>
      </w:r>
      <w:r w:rsidR="00EF4E34" w:rsidRPr="002F4431">
        <w:rPr>
          <w:rFonts w:cs="Arial"/>
          <w:color w:val="808080" w:themeColor="background1" w:themeShade="80"/>
          <w:szCs w:val="24"/>
        </w:rPr>
        <w:t>s</w:t>
      </w:r>
      <w:r w:rsidR="00E03A83" w:rsidRPr="002F4431">
        <w:rPr>
          <w:rFonts w:cs="Arial"/>
          <w:color w:val="808080" w:themeColor="background1" w:themeShade="80"/>
          <w:szCs w:val="24"/>
        </w:rPr>
        <w:t>/ICSs</w:t>
      </w:r>
      <w:r w:rsidR="00C15FB3" w:rsidRPr="002F4431">
        <w:rPr>
          <w:rFonts w:cs="Arial"/>
          <w:color w:val="808080" w:themeColor="background1" w:themeShade="80"/>
          <w:szCs w:val="24"/>
        </w:rPr>
        <w:t xml:space="preserve"> </w:t>
      </w:r>
      <w:r w:rsidR="00476F7E" w:rsidRPr="002F4431">
        <w:rPr>
          <w:color w:val="808080" w:themeColor="background1" w:themeShade="80"/>
        </w:rPr>
        <w:t xml:space="preserve">is included in the web version of the tool and </w:t>
      </w:r>
      <w:r w:rsidRPr="002F4431">
        <w:rPr>
          <w:rFonts w:cs="Arial"/>
          <w:color w:val="808080" w:themeColor="background1" w:themeShade="80"/>
          <w:szCs w:val="24"/>
        </w:rPr>
        <w:t>will be included in this framework in due course.</w:t>
      </w:r>
    </w:p>
    <w:p w14:paraId="77322318" w14:textId="77777777" w:rsidR="004F0081" w:rsidRPr="002F4431" w:rsidRDefault="004F0081" w:rsidP="005E5BB7">
      <w:pPr>
        <w:spacing w:before="0" w:after="0" w:line="276" w:lineRule="auto"/>
        <w:jc w:val="both"/>
        <w:rPr>
          <w:rFonts w:cs="Arial"/>
          <w:color w:val="808080" w:themeColor="background1" w:themeShade="80"/>
          <w:szCs w:val="24"/>
        </w:rPr>
      </w:pPr>
    </w:p>
    <w:p w14:paraId="634E6604" w14:textId="77777777" w:rsidR="00476F7E" w:rsidRPr="00AC6952" w:rsidRDefault="00476F7E" w:rsidP="00476F7E">
      <w:pPr>
        <w:spacing w:line="276" w:lineRule="auto"/>
        <w:jc w:val="both"/>
        <w:rPr>
          <w:color w:val="808080" w:themeColor="background1" w:themeShade="80"/>
        </w:rPr>
      </w:pPr>
      <w:r w:rsidRPr="00AC6952">
        <w:rPr>
          <w:color w:val="808080" w:themeColor="background1" w:themeShade="80"/>
        </w:rPr>
        <w:t xml:space="preserve">A list of each information governance/BI Lead associated with STPs/ICSs is included in the web version of the tool and will be included in this framework in due course.  </w:t>
      </w:r>
    </w:p>
    <w:p w14:paraId="51ACA1CF" w14:textId="77777777" w:rsidR="00AA0AFD" w:rsidRPr="005A3136" w:rsidRDefault="00AA0AFD" w:rsidP="005E5BB7">
      <w:pPr>
        <w:spacing w:before="0" w:after="0" w:line="276" w:lineRule="auto"/>
        <w:jc w:val="both"/>
        <w:rPr>
          <w:rFonts w:cs="Arial"/>
          <w:color w:val="808080" w:themeColor="background1" w:themeShade="80"/>
          <w:szCs w:val="24"/>
        </w:rPr>
      </w:pPr>
    </w:p>
    <w:p w14:paraId="1A33E2D3" w14:textId="77777777" w:rsidR="00AC6952" w:rsidRDefault="00AC6952">
      <w:pPr>
        <w:spacing w:before="0" w:after="160" w:line="259" w:lineRule="auto"/>
        <w:rPr>
          <w:rFonts w:cs="Arial"/>
          <w:b/>
          <w:color w:val="808080" w:themeColor="background1" w:themeShade="80"/>
          <w:szCs w:val="24"/>
        </w:rPr>
      </w:pPr>
      <w:r>
        <w:rPr>
          <w:rFonts w:cs="Arial"/>
          <w:b/>
          <w:color w:val="808080" w:themeColor="background1" w:themeShade="80"/>
          <w:szCs w:val="24"/>
        </w:rPr>
        <w:br w:type="page"/>
      </w:r>
    </w:p>
    <w:p w14:paraId="23CADBB1" w14:textId="67E6BED5" w:rsidR="00AC6952" w:rsidRPr="00427364" w:rsidRDefault="00AC6952" w:rsidP="00255D64">
      <w:pPr>
        <w:rPr>
          <w:rFonts w:cs="Arial"/>
          <w:b/>
          <w:color w:val="808080" w:themeColor="background1" w:themeShade="80"/>
          <w:szCs w:val="24"/>
        </w:rPr>
      </w:pPr>
      <w:r w:rsidRPr="00427364">
        <w:rPr>
          <w:rFonts w:cs="Arial"/>
          <w:b/>
          <w:color w:val="808080" w:themeColor="background1" w:themeShade="80"/>
          <w:szCs w:val="24"/>
        </w:rPr>
        <w:t>Example Tasklist (not exhaustive)</w:t>
      </w:r>
      <w:r w:rsidRPr="00427364" w:rsidDel="00812A15">
        <w:rPr>
          <w:rFonts w:cs="Arial"/>
          <w:b/>
          <w:color w:val="808080" w:themeColor="background1" w:themeShade="80"/>
          <w:szCs w:val="24"/>
        </w:rPr>
        <w:t xml:space="preserve"> </w:t>
      </w:r>
      <w:r w:rsidRPr="00427364">
        <w:rPr>
          <w:rFonts w:cs="Arial"/>
          <w:b/>
          <w:color w:val="808080" w:themeColor="background1" w:themeShade="80"/>
          <w:szCs w:val="24"/>
        </w:rPr>
        <w:t xml:space="preserve"> </w:t>
      </w:r>
    </w:p>
    <w:p w14:paraId="385AD1B2" w14:textId="77777777" w:rsidR="00AC6952" w:rsidRPr="00427364" w:rsidRDefault="00AC6952" w:rsidP="00AC6952">
      <w:pPr>
        <w:rPr>
          <w:rFonts w:cs="Arial"/>
          <w:color w:val="808080" w:themeColor="background1" w:themeShade="80"/>
          <w:szCs w:val="24"/>
        </w:rPr>
      </w:pPr>
      <w:r w:rsidRPr="00427364">
        <w:rPr>
          <w:rFonts w:cs="Arial"/>
          <w:color w:val="808080" w:themeColor="background1" w:themeShade="80"/>
          <w:szCs w:val="24"/>
        </w:rPr>
        <w:t>By completing this tasklist, this will help GDPR Art. 30 requirements for ROPA.</w:t>
      </w:r>
    </w:p>
    <w:tbl>
      <w:tblPr>
        <w:tblStyle w:val="TableElegant"/>
        <w:tblW w:w="10060" w:type="dxa"/>
        <w:tblLook w:val="04A0" w:firstRow="1" w:lastRow="0" w:firstColumn="1" w:lastColumn="0" w:noHBand="0" w:noVBand="1"/>
      </w:tblPr>
      <w:tblGrid>
        <w:gridCol w:w="662"/>
        <w:gridCol w:w="5045"/>
        <w:gridCol w:w="2803"/>
        <w:gridCol w:w="1550"/>
      </w:tblGrid>
      <w:tr w:rsidR="00741463" w:rsidRPr="005A3136" w14:paraId="0037A4A1" w14:textId="77777777" w:rsidTr="00741463">
        <w:trPr>
          <w:cnfStyle w:val="100000000000" w:firstRow="1" w:lastRow="0" w:firstColumn="0" w:lastColumn="0" w:oddVBand="0" w:evenVBand="0" w:oddHBand="0" w:evenHBand="0" w:firstRowFirstColumn="0" w:firstRowLastColumn="0" w:lastRowFirstColumn="0" w:lastRowLastColumn="0"/>
        </w:trPr>
        <w:tc>
          <w:tcPr>
            <w:tcW w:w="698" w:type="dxa"/>
          </w:tcPr>
          <w:p w14:paraId="525A28D5" w14:textId="77777777" w:rsidR="00741463" w:rsidRPr="005A3136" w:rsidRDefault="00741463" w:rsidP="00566EDA">
            <w:pPr>
              <w:rPr>
                <w:rFonts w:cs="Arial"/>
                <w:b/>
                <w:color w:val="808080" w:themeColor="background1" w:themeShade="80"/>
                <w:szCs w:val="24"/>
              </w:rPr>
            </w:pPr>
          </w:p>
        </w:tc>
        <w:tc>
          <w:tcPr>
            <w:tcW w:w="5450" w:type="dxa"/>
          </w:tcPr>
          <w:p w14:paraId="67DD5B9A"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Task</w:t>
            </w:r>
          </w:p>
        </w:tc>
        <w:tc>
          <w:tcPr>
            <w:tcW w:w="2494" w:type="dxa"/>
          </w:tcPr>
          <w:p w14:paraId="32101630"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Tools and Template/Appendix</w:t>
            </w:r>
          </w:p>
        </w:tc>
        <w:tc>
          <w:tcPr>
            <w:tcW w:w="1418" w:type="dxa"/>
          </w:tcPr>
          <w:p w14:paraId="2E2FF0DA" w14:textId="77777777" w:rsidR="00741463" w:rsidRPr="005A3136" w:rsidRDefault="00741463" w:rsidP="00566EDA">
            <w:pPr>
              <w:rPr>
                <w:rFonts w:cs="Arial"/>
                <w:b/>
                <w:color w:val="808080" w:themeColor="background1" w:themeShade="80"/>
                <w:szCs w:val="24"/>
              </w:rPr>
            </w:pPr>
            <w:r w:rsidRPr="005A3136">
              <w:rPr>
                <w:rFonts w:cs="Arial"/>
                <w:b/>
                <w:color w:val="808080" w:themeColor="background1" w:themeShade="80"/>
                <w:szCs w:val="24"/>
              </w:rPr>
              <w:t>Complete</w:t>
            </w:r>
          </w:p>
        </w:tc>
      </w:tr>
      <w:tr w:rsidR="00741463" w:rsidRPr="005A3136" w14:paraId="145358D6" w14:textId="77777777" w:rsidTr="00741463">
        <w:tc>
          <w:tcPr>
            <w:tcW w:w="698" w:type="dxa"/>
          </w:tcPr>
          <w:p w14:paraId="71B36843"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1</w:t>
            </w:r>
          </w:p>
        </w:tc>
        <w:tc>
          <w:tcPr>
            <w:tcW w:w="5450" w:type="dxa"/>
          </w:tcPr>
          <w:p w14:paraId="0AB3BFE4"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Describe your care system’s structure</w:t>
            </w:r>
          </w:p>
        </w:tc>
        <w:tc>
          <w:tcPr>
            <w:tcW w:w="2494" w:type="dxa"/>
          </w:tcPr>
          <w:p w14:paraId="2CD53EC2"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(4.1)</w:t>
            </w:r>
          </w:p>
        </w:tc>
        <w:tc>
          <w:tcPr>
            <w:tcW w:w="1418" w:type="dxa"/>
          </w:tcPr>
          <w:p w14:paraId="0BD56369" w14:textId="77777777" w:rsidR="00741463" w:rsidRPr="005A3136" w:rsidRDefault="00741463" w:rsidP="00566EDA">
            <w:pPr>
              <w:rPr>
                <w:rFonts w:cs="Arial"/>
                <w:color w:val="808080" w:themeColor="background1" w:themeShade="80"/>
                <w:szCs w:val="24"/>
              </w:rPr>
            </w:pPr>
          </w:p>
        </w:tc>
      </w:tr>
      <w:tr w:rsidR="00741463" w:rsidRPr="005A3136" w14:paraId="790A215A" w14:textId="77777777" w:rsidTr="00741463">
        <w:tc>
          <w:tcPr>
            <w:tcW w:w="698" w:type="dxa"/>
          </w:tcPr>
          <w:p w14:paraId="5C83CB3A"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2</w:t>
            </w:r>
          </w:p>
        </w:tc>
        <w:tc>
          <w:tcPr>
            <w:tcW w:w="5450" w:type="dxa"/>
          </w:tcPr>
          <w:p w14:paraId="471866D5"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Define how your care system will govern data use</w:t>
            </w:r>
          </w:p>
        </w:tc>
        <w:tc>
          <w:tcPr>
            <w:tcW w:w="2494" w:type="dxa"/>
          </w:tcPr>
          <w:p w14:paraId="0E2DCF66"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C</w:t>
            </w:r>
          </w:p>
          <w:p w14:paraId="0E7A439D"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(2.1)</w:t>
            </w:r>
          </w:p>
        </w:tc>
        <w:tc>
          <w:tcPr>
            <w:tcW w:w="1418" w:type="dxa"/>
          </w:tcPr>
          <w:p w14:paraId="0380A36C" w14:textId="77777777" w:rsidR="00741463" w:rsidRPr="005A3136" w:rsidRDefault="00741463" w:rsidP="00566EDA">
            <w:pPr>
              <w:rPr>
                <w:rFonts w:cs="Arial"/>
                <w:color w:val="808080" w:themeColor="background1" w:themeShade="80"/>
                <w:szCs w:val="24"/>
              </w:rPr>
            </w:pPr>
          </w:p>
        </w:tc>
      </w:tr>
      <w:tr w:rsidR="00741463" w:rsidRPr="005A3136" w14:paraId="5F0A1E74" w14:textId="77777777" w:rsidTr="00741463">
        <w:tc>
          <w:tcPr>
            <w:tcW w:w="698" w:type="dxa"/>
          </w:tcPr>
          <w:p w14:paraId="14AE5F9A"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3</w:t>
            </w:r>
          </w:p>
        </w:tc>
        <w:tc>
          <w:tcPr>
            <w:tcW w:w="5450" w:type="dxa"/>
          </w:tcPr>
          <w:p w14:paraId="00964BA0"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Identify the lawful basis for your data sharing activities and allocate them</w:t>
            </w:r>
          </w:p>
        </w:tc>
        <w:tc>
          <w:tcPr>
            <w:tcW w:w="2494" w:type="dxa"/>
          </w:tcPr>
          <w:p w14:paraId="20DFE0D7"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(4.2)</w:t>
            </w:r>
          </w:p>
        </w:tc>
        <w:tc>
          <w:tcPr>
            <w:tcW w:w="1418" w:type="dxa"/>
          </w:tcPr>
          <w:p w14:paraId="47C155EC" w14:textId="77777777" w:rsidR="00741463" w:rsidRPr="005A3136" w:rsidRDefault="00741463" w:rsidP="00566EDA">
            <w:pPr>
              <w:rPr>
                <w:rFonts w:cs="Arial"/>
                <w:color w:val="808080" w:themeColor="background1" w:themeShade="80"/>
                <w:szCs w:val="24"/>
              </w:rPr>
            </w:pPr>
          </w:p>
        </w:tc>
      </w:tr>
      <w:tr w:rsidR="00741463" w:rsidRPr="005A3136" w14:paraId="7AB5C190" w14:textId="77777777" w:rsidTr="00741463">
        <w:tc>
          <w:tcPr>
            <w:tcW w:w="698" w:type="dxa"/>
          </w:tcPr>
          <w:p w14:paraId="223F36E3"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lastRenderedPageBreak/>
              <w:t>4</w:t>
            </w:r>
          </w:p>
        </w:tc>
        <w:tc>
          <w:tcPr>
            <w:tcW w:w="5450" w:type="dxa"/>
          </w:tcPr>
          <w:p w14:paraId="6E2967C5"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Understand what data you require</w:t>
            </w:r>
          </w:p>
        </w:tc>
        <w:tc>
          <w:tcPr>
            <w:tcW w:w="2494" w:type="dxa"/>
          </w:tcPr>
          <w:p w14:paraId="457EF171"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Tbc – data mapping</w:t>
            </w:r>
          </w:p>
        </w:tc>
        <w:tc>
          <w:tcPr>
            <w:tcW w:w="1418" w:type="dxa"/>
          </w:tcPr>
          <w:p w14:paraId="32016613" w14:textId="77777777" w:rsidR="00741463" w:rsidRPr="005A3136" w:rsidRDefault="00741463" w:rsidP="00566EDA">
            <w:pPr>
              <w:rPr>
                <w:rFonts w:cs="Arial"/>
                <w:color w:val="808080" w:themeColor="background1" w:themeShade="80"/>
                <w:szCs w:val="24"/>
              </w:rPr>
            </w:pPr>
          </w:p>
        </w:tc>
      </w:tr>
      <w:tr w:rsidR="00741463" w:rsidRPr="005A3136" w14:paraId="50001D13" w14:textId="77777777" w:rsidTr="00741463">
        <w:tc>
          <w:tcPr>
            <w:tcW w:w="698" w:type="dxa"/>
          </w:tcPr>
          <w:p w14:paraId="29CFA946"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5</w:t>
            </w:r>
          </w:p>
        </w:tc>
        <w:tc>
          <w:tcPr>
            <w:tcW w:w="5450" w:type="dxa"/>
          </w:tcPr>
          <w:p w14:paraId="1E9DB4EE"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Demonstrate how you will protect the data  </w:t>
            </w:r>
          </w:p>
        </w:tc>
        <w:tc>
          <w:tcPr>
            <w:tcW w:w="2494" w:type="dxa"/>
          </w:tcPr>
          <w:p w14:paraId="2332C16A"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(4.5)</w:t>
            </w:r>
          </w:p>
        </w:tc>
        <w:tc>
          <w:tcPr>
            <w:tcW w:w="1418" w:type="dxa"/>
          </w:tcPr>
          <w:p w14:paraId="6D32C6C3" w14:textId="77777777" w:rsidR="00741463" w:rsidRPr="005A3136" w:rsidRDefault="00741463" w:rsidP="00566EDA">
            <w:pPr>
              <w:rPr>
                <w:rFonts w:cs="Arial"/>
                <w:color w:val="808080" w:themeColor="background1" w:themeShade="80"/>
                <w:szCs w:val="24"/>
              </w:rPr>
            </w:pPr>
          </w:p>
        </w:tc>
      </w:tr>
      <w:tr w:rsidR="00741463" w:rsidRPr="005A3136" w14:paraId="4EC71A5E" w14:textId="77777777" w:rsidTr="00741463">
        <w:tc>
          <w:tcPr>
            <w:tcW w:w="698" w:type="dxa"/>
          </w:tcPr>
          <w:p w14:paraId="2F685405"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6</w:t>
            </w:r>
          </w:p>
        </w:tc>
        <w:tc>
          <w:tcPr>
            <w:tcW w:w="5450" w:type="dxa"/>
          </w:tcPr>
          <w:p w14:paraId="506C0FCB"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Ensure appropriate contracts and agreements are in place  </w:t>
            </w:r>
          </w:p>
        </w:tc>
        <w:tc>
          <w:tcPr>
            <w:tcW w:w="2494" w:type="dxa"/>
          </w:tcPr>
          <w:p w14:paraId="5CA6BFA0"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(4.3)</w:t>
            </w:r>
          </w:p>
        </w:tc>
        <w:tc>
          <w:tcPr>
            <w:tcW w:w="1418" w:type="dxa"/>
          </w:tcPr>
          <w:p w14:paraId="04125803" w14:textId="77777777" w:rsidR="00741463" w:rsidRPr="005A3136" w:rsidRDefault="00741463" w:rsidP="00566EDA">
            <w:pPr>
              <w:rPr>
                <w:rFonts w:cs="Arial"/>
                <w:color w:val="808080" w:themeColor="background1" w:themeShade="80"/>
                <w:szCs w:val="24"/>
              </w:rPr>
            </w:pPr>
          </w:p>
        </w:tc>
      </w:tr>
      <w:tr w:rsidR="00741463" w:rsidRPr="005A3136" w14:paraId="47551A7B" w14:textId="77777777" w:rsidTr="00741463">
        <w:tc>
          <w:tcPr>
            <w:tcW w:w="698" w:type="dxa"/>
          </w:tcPr>
          <w:p w14:paraId="474B7997"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7</w:t>
            </w:r>
          </w:p>
        </w:tc>
        <w:tc>
          <w:tcPr>
            <w:tcW w:w="5450" w:type="dxa"/>
          </w:tcPr>
          <w:p w14:paraId="35846FD8"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 xml:space="preserve">Assure your population that processing is fair and transparent  </w:t>
            </w:r>
          </w:p>
        </w:tc>
        <w:tc>
          <w:tcPr>
            <w:tcW w:w="2494" w:type="dxa"/>
          </w:tcPr>
          <w:p w14:paraId="34C39114" w14:textId="77777777" w:rsidR="00741463" w:rsidRPr="005A3136" w:rsidRDefault="00741463" w:rsidP="00566EDA">
            <w:pPr>
              <w:rPr>
                <w:rFonts w:cs="Arial"/>
                <w:color w:val="808080" w:themeColor="background1" w:themeShade="80"/>
                <w:szCs w:val="24"/>
              </w:rPr>
            </w:pPr>
            <w:r w:rsidRPr="005A3136">
              <w:rPr>
                <w:rFonts w:cs="Arial"/>
                <w:color w:val="808080" w:themeColor="background1" w:themeShade="80"/>
                <w:szCs w:val="24"/>
              </w:rPr>
              <w:t>Appendix H (4.2)</w:t>
            </w:r>
          </w:p>
        </w:tc>
        <w:tc>
          <w:tcPr>
            <w:tcW w:w="1418" w:type="dxa"/>
          </w:tcPr>
          <w:p w14:paraId="4DA17D6A" w14:textId="77777777" w:rsidR="00741463" w:rsidRPr="005A3136" w:rsidRDefault="00741463" w:rsidP="00566EDA">
            <w:pPr>
              <w:rPr>
                <w:rFonts w:cs="Arial"/>
                <w:color w:val="808080" w:themeColor="background1" w:themeShade="80"/>
                <w:szCs w:val="24"/>
              </w:rPr>
            </w:pPr>
          </w:p>
        </w:tc>
      </w:tr>
    </w:tbl>
    <w:p w14:paraId="26E5CBC2" w14:textId="77777777" w:rsidR="00041859" w:rsidRPr="005A3136" w:rsidRDefault="00041859" w:rsidP="00041859">
      <w:pPr>
        <w:jc w:val="both"/>
        <w:rPr>
          <w:rFonts w:cs="Arial"/>
          <w:color w:val="808080" w:themeColor="background1" w:themeShade="80"/>
          <w:szCs w:val="24"/>
        </w:rPr>
      </w:pPr>
    </w:p>
    <w:p w14:paraId="58C69A9B" w14:textId="77777777" w:rsidR="00580CCC" w:rsidRPr="008706E7" w:rsidRDefault="00041859" w:rsidP="00CC1EB5">
      <w:pPr>
        <w:pStyle w:val="Heading1"/>
        <w:numPr>
          <w:ilvl w:val="0"/>
          <w:numId w:val="0"/>
        </w:numPr>
      </w:pPr>
      <w:r w:rsidRPr="005A3136">
        <w:rPr>
          <w:sz w:val="24"/>
          <w:szCs w:val="24"/>
        </w:rPr>
        <w:br w:type="page"/>
      </w:r>
      <w:bookmarkStart w:id="62" w:name="_Toc10223077"/>
      <w:bookmarkEnd w:id="57"/>
      <w:r w:rsidR="008706E7">
        <w:lastRenderedPageBreak/>
        <w:t>8</w:t>
      </w:r>
      <w:r w:rsidRPr="008706E7">
        <w:t>.</w:t>
      </w:r>
      <w:r w:rsidR="00C6330F" w:rsidRPr="008706E7">
        <w:tab/>
      </w:r>
      <w:r w:rsidR="00623C1A" w:rsidRPr="008706E7">
        <w:t xml:space="preserve">Journey </w:t>
      </w:r>
      <w:r w:rsidR="008706E7" w:rsidRPr="008706E7">
        <w:t>4</w:t>
      </w:r>
      <w:r w:rsidR="00623C1A" w:rsidRPr="008706E7">
        <w:t xml:space="preserve"> – Research</w:t>
      </w:r>
      <w:bookmarkEnd w:id="62"/>
    </w:p>
    <w:p w14:paraId="562610F0" w14:textId="77777777" w:rsidR="00C6330F" w:rsidRPr="005A3136" w:rsidRDefault="00C6330F" w:rsidP="00C6330F">
      <w:pPr>
        <w:spacing w:before="0" w:after="0" w:line="276" w:lineRule="auto"/>
        <w:rPr>
          <w:rFonts w:cs="Arial"/>
          <w:b/>
          <w:bCs w:val="0"/>
          <w:color w:val="808080" w:themeColor="background1" w:themeShade="80"/>
          <w:szCs w:val="24"/>
        </w:rPr>
      </w:pPr>
      <w:r w:rsidRPr="005A3136">
        <w:rPr>
          <w:rFonts w:cs="Arial"/>
          <w:b/>
          <w:bCs w:val="0"/>
          <w:color w:val="808080" w:themeColor="background1" w:themeShade="80"/>
          <w:szCs w:val="24"/>
        </w:rPr>
        <w:t>Introduction</w:t>
      </w:r>
    </w:p>
    <w:p w14:paraId="0D649EDB"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 xml:space="preserve">This part of the framework sets out the issues that need to be considered before using patient information for </w:t>
      </w:r>
      <w:r w:rsidR="00732843" w:rsidRPr="005A3136">
        <w:rPr>
          <w:rFonts w:cs="Arial"/>
          <w:bCs w:val="0"/>
          <w:color w:val="808080" w:themeColor="background1" w:themeShade="80"/>
          <w:szCs w:val="24"/>
        </w:rPr>
        <w:t xml:space="preserve">medical research </w:t>
      </w:r>
      <w:r w:rsidR="00DC54DE" w:rsidRPr="005A3136">
        <w:rPr>
          <w:rFonts w:cs="Arial"/>
          <w:bCs w:val="0"/>
          <w:color w:val="808080" w:themeColor="background1" w:themeShade="80"/>
          <w:szCs w:val="24"/>
        </w:rPr>
        <w:t>purposes.</w:t>
      </w:r>
    </w:p>
    <w:p w14:paraId="682EFEF7" w14:textId="77777777" w:rsidR="00C6330F" w:rsidRPr="005A3136" w:rsidRDefault="00C6330F" w:rsidP="00C6330F">
      <w:pPr>
        <w:spacing w:before="0" w:after="0" w:line="276" w:lineRule="auto"/>
        <w:jc w:val="both"/>
        <w:rPr>
          <w:rFonts w:cs="Arial"/>
          <w:bCs w:val="0"/>
          <w:color w:val="808080" w:themeColor="background1" w:themeShade="80"/>
          <w:szCs w:val="24"/>
        </w:rPr>
      </w:pPr>
    </w:p>
    <w:p w14:paraId="6DF8278A"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The Health Research Authority (HRA) have set out a UK Policy Framework for Health and Social Care Research:</w:t>
      </w:r>
    </w:p>
    <w:p w14:paraId="6411C2DB" w14:textId="77777777" w:rsidR="00C6330F" w:rsidRPr="005A3136" w:rsidRDefault="00EF15FC" w:rsidP="00C6330F">
      <w:pPr>
        <w:spacing w:before="0" w:after="0" w:line="276" w:lineRule="auto"/>
        <w:jc w:val="both"/>
        <w:rPr>
          <w:rFonts w:cs="Arial"/>
          <w:bCs w:val="0"/>
          <w:color w:val="808080" w:themeColor="background1" w:themeShade="80"/>
          <w:szCs w:val="24"/>
        </w:rPr>
      </w:pPr>
      <w:hyperlink r:id="rId23" w:history="1">
        <w:r w:rsidR="00C6330F" w:rsidRPr="005A3136">
          <w:rPr>
            <w:rStyle w:val="Hyperlink"/>
            <w:rFonts w:cs="Arial"/>
            <w:color w:val="808080" w:themeColor="background1" w:themeShade="80"/>
            <w:szCs w:val="24"/>
          </w:rPr>
          <w:t>https://www.hra.nhs.uk/planning-and-improving-research/policies-standards-legislation/uk-policy-framework-health-social-care-research/</w:t>
        </w:r>
      </w:hyperlink>
      <w:r w:rsidR="00821900" w:rsidRPr="005A3136">
        <w:rPr>
          <w:rStyle w:val="Hyperlink"/>
          <w:rFonts w:cs="Arial"/>
          <w:color w:val="808080" w:themeColor="background1" w:themeShade="80"/>
          <w:szCs w:val="24"/>
        </w:rPr>
        <w:t>.</w:t>
      </w:r>
    </w:p>
    <w:p w14:paraId="186D30CA" w14:textId="77777777" w:rsidR="00C6330F" w:rsidRPr="005A3136" w:rsidRDefault="00C6330F" w:rsidP="00C6330F">
      <w:pPr>
        <w:spacing w:before="0" w:after="0" w:line="276" w:lineRule="auto"/>
        <w:jc w:val="both"/>
        <w:rPr>
          <w:rFonts w:cs="Arial"/>
          <w:bCs w:val="0"/>
          <w:color w:val="808080" w:themeColor="background1" w:themeShade="80"/>
          <w:szCs w:val="24"/>
        </w:rPr>
      </w:pPr>
    </w:p>
    <w:p w14:paraId="2FF57812"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Understanding the role of the HRA and its approvals process will be the key to undertaking successfu</w:t>
      </w:r>
      <w:r w:rsidR="00EF4E34" w:rsidRPr="005A3136">
        <w:rPr>
          <w:rFonts w:cs="Arial"/>
          <w:bCs w:val="0"/>
          <w:color w:val="808080" w:themeColor="background1" w:themeShade="80"/>
          <w:szCs w:val="24"/>
        </w:rPr>
        <w:t>l (and legal) medical research</w:t>
      </w:r>
      <w:r w:rsidR="00003234" w:rsidRPr="005A3136">
        <w:rPr>
          <w:rFonts w:cs="Arial"/>
          <w:bCs w:val="0"/>
          <w:color w:val="808080" w:themeColor="background1" w:themeShade="80"/>
          <w:szCs w:val="24"/>
        </w:rPr>
        <w:t xml:space="preserve">. If you plan to conduct any form of research you will require it to be approved by the HRA. </w:t>
      </w:r>
      <w:r w:rsidRPr="005A3136">
        <w:rPr>
          <w:rFonts w:cs="Arial"/>
          <w:bCs w:val="0"/>
          <w:color w:val="808080" w:themeColor="background1" w:themeShade="80"/>
          <w:szCs w:val="24"/>
        </w:rPr>
        <w:t xml:space="preserve"> They provide a decision tool to help organisations to determine if a project is research:</w:t>
      </w:r>
    </w:p>
    <w:p w14:paraId="770C1756" w14:textId="77777777" w:rsidR="00C6330F" w:rsidRPr="005A3136" w:rsidRDefault="00EF15FC" w:rsidP="00C6330F">
      <w:pPr>
        <w:spacing w:before="0" w:after="0" w:line="276" w:lineRule="auto"/>
        <w:jc w:val="both"/>
        <w:rPr>
          <w:rFonts w:cs="Arial"/>
          <w:bCs w:val="0"/>
          <w:color w:val="808080" w:themeColor="background1" w:themeShade="80"/>
          <w:szCs w:val="24"/>
        </w:rPr>
      </w:pPr>
      <w:hyperlink r:id="rId24" w:history="1">
        <w:r w:rsidR="00C6330F" w:rsidRPr="005A3136">
          <w:rPr>
            <w:rStyle w:val="Hyperlink"/>
            <w:rFonts w:cs="Arial"/>
            <w:color w:val="808080" w:themeColor="background1" w:themeShade="80"/>
            <w:szCs w:val="24"/>
          </w:rPr>
          <w:t>https://www.hra.nhs.uk/approvals-amendments/what-approvals-do-i-need/</w:t>
        </w:r>
      </w:hyperlink>
      <w:r w:rsidR="00821900" w:rsidRPr="005A3136">
        <w:rPr>
          <w:rFonts w:cs="Arial"/>
          <w:bCs w:val="0"/>
          <w:color w:val="808080" w:themeColor="background1" w:themeShade="80"/>
          <w:szCs w:val="24"/>
        </w:rPr>
        <w:t>.</w:t>
      </w:r>
    </w:p>
    <w:p w14:paraId="25E8456A" w14:textId="77777777" w:rsidR="00C6330F" w:rsidRPr="005A3136" w:rsidRDefault="00C6330F" w:rsidP="00C6330F">
      <w:pPr>
        <w:spacing w:before="0" w:after="0" w:line="276" w:lineRule="auto"/>
        <w:jc w:val="both"/>
        <w:rPr>
          <w:rFonts w:cs="Arial"/>
          <w:bCs w:val="0"/>
          <w:color w:val="808080" w:themeColor="background1" w:themeShade="80"/>
          <w:szCs w:val="24"/>
        </w:rPr>
      </w:pPr>
    </w:p>
    <w:p w14:paraId="5ABBC10F" w14:textId="77777777" w:rsidR="00C27367" w:rsidRPr="005A3136" w:rsidRDefault="00C6330F" w:rsidP="009E1045">
      <w:pPr>
        <w:spacing w:before="0" w:after="0" w:line="276" w:lineRule="auto"/>
        <w:jc w:val="both"/>
        <w:rPr>
          <w:color w:val="808080" w:themeColor="background1" w:themeShade="80"/>
          <w:szCs w:val="24"/>
        </w:rPr>
      </w:pPr>
      <w:r w:rsidRPr="005A3136">
        <w:rPr>
          <w:rFonts w:cs="Arial"/>
          <w:bCs w:val="0"/>
          <w:color w:val="808080" w:themeColor="background1" w:themeShade="80"/>
          <w:szCs w:val="24"/>
        </w:rPr>
        <w:t xml:space="preserve">Once you are clear that your project is medical research you will need to consider what needs to be done to meet </w:t>
      </w:r>
      <w:r w:rsidR="00DC3053" w:rsidRPr="005A3136">
        <w:rPr>
          <w:rFonts w:cs="Arial"/>
          <w:bCs w:val="0"/>
          <w:color w:val="808080" w:themeColor="background1" w:themeShade="80"/>
          <w:szCs w:val="24"/>
        </w:rPr>
        <w:t xml:space="preserve">information governance </w:t>
      </w:r>
      <w:r w:rsidRPr="005A3136">
        <w:rPr>
          <w:rFonts w:cs="Arial"/>
          <w:bCs w:val="0"/>
          <w:color w:val="808080" w:themeColor="background1" w:themeShade="80"/>
          <w:szCs w:val="24"/>
        </w:rPr>
        <w:t>requirements. This will depend on a number of factors</w:t>
      </w:r>
      <w:r w:rsidR="00DC3053" w:rsidRPr="005A3136">
        <w:rPr>
          <w:rFonts w:cs="Arial"/>
          <w:bCs w:val="0"/>
          <w:color w:val="808080" w:themeColor="background1" w:themeShade="80"/>
          <w:szCs w:val="24"/>
        </w:rPr>
        <w:t xml:space="preserve"> including whether the information is </w:t>
      </w:r>
      <w:r w:rsidR="00C37FD7">
        <w:rPr>
          <w:rFonts w:cs="Arial"/>
          <w:bCs w:val="0"/>
          <w:color w:val="808080" w:themeColor="background1" w:themeShade="80"/>
          <w:szCs w:val="24"/>
        </w:rPr>
        <w:t>personal/</w:t>
      </w:r>
      <w:r w:rsidR="00DC3053" w:rsidRPr="005A3136">
        <w:rPr>
          <w:rFonts w:cs="Arial"/>
          <w:bCs w:val="0"/>
          <w:color w:val="808080" w:themeColor="background1" w:themeShade="80"/>
          <w:szCs w:val="24"/>
        </w:rPr>
        <w:t>confidential patient information</w:t>
      </w:r>
      <w:r w:rsidR="00B72094">
        <w:rPr>
          <w:rFonts w:cs="Arial"/>
          <w:bCs w:val="0"/>
          <w:color w:val="808080" w:themeColor="background1" w:themeShade="80"/>
          <w:szCs w:val="24"/>
        </w:rPr>
        <w:t xml:space="preserve"> and/or </w:t>
      </w:r>
      <w:r w:rsidR="00115BD3">
        <w:rPr>
          <w:rFonts w:cs="Arial"/>
          <w:bCs w:val="0"/>
          <w:color w:val="808080" w:themeColor="background1" w:themeShade="80"/>
          <w:szCs w:val="24"/>
        </w:rPr>
        <w:t>special category data</w:t>
      </w:r>
      <w:r w:rsidR="00DC3053" w:rsidRPr="005A3136">
        <w:rPr>
          <w:rFonts w:cs="Arial"/>
          <w:bCs w:val="0"/>
          <w:color w:val="808080" w:themeColor="background1" w:themeShade="80"/>
          <w:szCs w:val="24"/>
        </w:rPr>
        <w:t xml:space="preserve"> and the controls in place.  </w:t>
      </w:r>
    </w:p>
    <w:p w14:paraId="6FEA3636" w14:textId="77777777" w:rsidR="00C6330F" w:rsidRPr="005A3136" w:rsidRDefault="00C6330F" w:rsidP="00C6330F">
      <w:pPr>
        <w:spacing w:before="0" w:after="0" w:line="276" w:lineRule="auto"/>
        <w:jc w:val="both"/>
        <w:rPr>
          <w:rFonts w:cs="Arial"/>
          <w:b/>
          <w:bCs w:val="0"/>
          <w:color w:val="808080" w:themeColor="background1" w:themeShade="80"/>
          <w:szCs w:val="24"/>
        </w:rPr>
      </w:pPr>
    </w:p>
    <w:p w14:paraId="072EA6B0" w14:textId="77777777" w:rsidR="00C6330F" w:rsidRPr="005A3136" w:rsidRDefault="00DC3053" w:rsidP="00C6330F">
      <w:pPr>
        <w:spacing w:before="0" w:after="0" w:line="276" w:lineRule="auto"/>
        <w:jc w:val="both"/>
        <w:rPr>
          <w:rFonts w:cs="Arial"/>
          <w:b/>
          <w:bCs w:val="0"/>
          <w:color w:val="808080" w:themeColor="background1" w:themeShade="80"/>
          <w:szCs w:val="24"/>
        </w:rPr>
      </w:pPr>
      <w:r w:rsidRPr="005A3136">
        <w:rPr>
          <w:rFonts w:cs="Arial"/>
          <w:b/>
          <w:bCs w:val="0"/>
          <w:color w:val="808080" w:themeColor="background1" w:themeShade="80"/>
          <w:szCs w:val="24"/>
        </w:rPr>
        <w:t>Anonymous data</w:t>
      </w:r>
    </w:p>
    <w:p w14:paraId="23BD6529" w14:textId="77777777" w:rsidR="000A0472" w:rsidRPr="005A3136" w:rsidRDefault="00DC3053" w:rsidP="000A0472">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Anonymous data</w:t>
      </w:r>
      <w:r w:rsidR="00C6330F" w:rsidRPr="005A3136">
        <w:rPr>
          <w:rFonts w:cs="Arial"/>
          <w:bCs w:val="0"/>
          <w:color w:val="808080" w:themeColor="background1" w:themeShade="80"/>
          <w:szCs w:val="24"/>
        </w:rPr>
        <w:t xml:space="preserve"> is not subject to the common law duty of confidence or data protection laws because individuals cannot be identified. </w:t>
      </w:r>
      <w:r w:rsidR="000A0472" w:rsidRPr="005A3136">
        <w:rPr>
          <w:rFonts w:cs="Arial"/>
          <w:bCs w:val="0"/>
          <w:color w:val="808080" w:themeColor="background1" w:themeShade="80"/>
          <w:szCs w:val="24"/>
        </w:rPr>
        <w:t>However, because the source of such information will be information about a specific patient’s condition then it will be patient information, as defined under the NHS Act 2006 – see footnote below.</w:t>
      </w:r>
    </w:p>
    <w:p w14:paraId="33DEAAB7" w14:textId="77777777" w:rsidR="00C6330F" w:rsidRPr="005A3136" w:rsidRDefault="00C6330F" w:rsidP="00C6330F">
      <w:pPr>
        <w:spacing w:before="0" w:after="0" w:line="276" w:lineRule="auto"/>
        <w:jc w:val="both"/>
        <w:rPr>
          <w:rFonts w:cs="Arial"/>
          <w:b/>
          <w:bCs w:val="0"/>
          <w:color w:val="808080" w:themeColor="background1" w:themeShade="80"/>
          <w:szCs w:val="24"/>
        </w:rPr>
      </w:pPr>
    </w:p>
    <w:p w14:paraId="0047F9A3" w14:textId="77777777" w:rsidR="00B609B8" w:rsidRPr="005A3136" w:rsidRDefault="00DC3053" w:rsidP="00B609B8">
      <w:pPr>
        <w:spacing w:before="0" w:after="0" w:line="276" w:lineRule="auto"/>
        <w:jc w:val="both"/>
        <w:rPr>
          <w:rFonts w:cs="Arial"/>
          <w:b/>
          <w:bCs w:val="0"/>
          <w:color w:val="808080" w:themeColor="background1" w:themeShade="80"/>
          <w:szCs w:val="24"/>
        </w:rPr>
      </w:pPr>
      <w:r w:rsidRPr="005A3136">
        <w:rPr>
          <w:rFonts w:cs="Arial"/>
          <w:b/>
          <w:bCs w:val="0"/>
          <w:color w:val="808080" w:themeColor="background1" w:themeShade="80"/>
          <w:szCs w:val="24"/>
        </w:rPr>
        <w:t>Personal/Confidential Patient Information</w:t>
      </w:r>
    </w:p>
    <w:p w14:paraId="64409CCF" w14:textId="77777777" w:rsidR="00C6330F" w:rsidRPr="005A3136" w:rsidRDefault="00DC3053">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To use this kind of information/data requires high information governance standards</w:t>
      </w:r>
      <w:r w:rsidR="00984BCF">
        <w:rPr>
          <w:rFonts w:cs="Arial"/>
          <w:bCs w:val="0"/>
          <w:color w:val="808080" w:themeColor="background1" w:themeShade="80"/>
          <w:szCs w:val="24"/>
        </w:rPr>
        <w:t xml:space="preserve"> (and which apply to data that has been pse</w:t>
      </w:r>
      <w:r w:rsidR="00A63144">
        <w:rPr>
          <w:rFonts w:cs="Arial"/>
          <w:bCs w:val="0"/>
          <w:color w:val="808080" w:themeColor="background1" w:themeShade="80"/>
          <w:szCs w:val="24"/>
        </w:rPr>
        <w:t>u</w:t>
      </w:r>
      <w:r w:rsidR="00984BCF">
        <w:rPr>
          <w:rFonts w:cs="Arial"/>
          <w:bCs w:val="0"/>
          <w:color w:val="808080" w:themeColor="background1" w:themeShade="80"/>
          <w:szCs w:val="24"/>
        </w:rPr>
        <w:t>donymised)</w:t>
      </w:r>
      <w:r w:rsidRPr="005A3136">
        <w:rPr>
          <w:rFonts w:cs="Arial"/>
          <w:bCs w:val="0"/>
          <w:color w:val="808080" w:themeColor="background1" w:themeShade="80"/>
          <w:szCs w:val="24"/>
        </w:rPr>
        <w:t xml:space="preserve"> to be met.  If an individual can be re-identified </w:t>
      </w:r>
      <w:r w:rsidR="00C6330F" w:rsidRPr="005A3136">
        <w:rPr>
          <w:rFonts w:cs="Arial"/>
          <w:bCs w:val="0"/>
          <w:color w:val="808080" w:themeColor="background1" w:themeShade="80"/>
          <w:szCs w:val="24"/>
        </w:rPr>
        <w:t>either accidentally or deliberately</w:t>
      </w:r>
      <w:r w:rsidRPr="005A3136">
        <w:rPr>
          <w:rFonts w:cs="Arial"/>
          <w:bCs w:val="0"/>
          <w:color w:val="808080" w:themeColor="background1" w:themeShade="80"/>
          <w:szCs w:val="24"/>
        </w:rPr>
        <w:t xml:space="preserve"> </w:t>
      </w:r>
      <w:r w:rsidR="00C6330F" w:rsidRPr="005A3136">
        <w:rPr>
          <w:rFonts w:cs="Arial"/>
          <w:bCs w:val="0"/>
          <w:color w:val="808080" w:themeColor="background1" w:themeShade="80"/>
          <w:szCs w:val="24"/>
        </w:rPr>
        <w:t>then this information should be treated as confidential patient information/personal data.</w:t>
      </w:r>
      <w:r w:rsidR="00A11674" w:rsidRPr="005A3136">
        <w:rPr>
          <w:rFonts w:cs="Arial"/>
          <w:bCs w:val="0"/>
          <w:color w:val="808080" w:themeColor="background1" w:themeShade="80"/>
          <w:szCs w:val="24"/>
        </w:rPr>
        <w:t xml:space="preserve"> H</w:t>
      </w:r>
      <w:r w:rsidR="00C6330F" w:rsidRPr="005A3136">
        <w:rPr>
          <w:rFonts w:cs="Arial"/>
          <w:bCs w:val="0"/>
          <w:color w:val="808080" w:themeColor="background1" w:themeShade="80"/>
          <w:szCs w:val="24"/>
        </w:rPr>
        <w:t>ow to go about using this type of information/data is set out in the section below.</w:t>
      </w:r>
    </w:p>
    <w:p w14:paraId="1DCC8CB1" w14:textId="77777777" w:rsidR="00C6330F" w:rsidRPr="005A3136" w:rsidRDefault="00C6330F" w:rsidP="00C6330F">
      <w:pPr>
        <w:spacing w:before="0" w:after="0" w:line="276" w:lineRule="auto"/>
        <w:jc w:val="both"/>
        <w:rPr>
          <w:rFonts w:cs="Arial"/>
          <w:b/>
          <w:bCs w:val="0"/>
          <w:color w:val="808080" w:themeColor="background1" w:themeShade="80"/>
          <w:szCs w:val="24"/>
        </w:rPr>
      </w:pPr>
    </w:p>
    <w:p w14:paraId="4B3E1BD8" w14:textId="77777777" w:rsidR="00C6330F" w:rsidRPr="005A3136" w:rsidRDefault="00C6330F" w:rsidP="00C6330F">
      <w:pPr>
        <w:spacing w:before="0" w:after="0" w:line="276" w:lineRule="auto"/>
        <w:jc w:val="both"/>
        <w:rPr>
          <w:rFonts w:cs="Arial"/>
          <w:b/>
          <w:bCs w:val="0"/>
          <w:color w:val="808080" w:themeColor="background1" w:themeShade="80"/>
          <w:szCs w:val="24"/>
        </w:rPr>
      </w:pPr>
      <w:r w:rsidRPr="005A3136">
        <w:rPr>
          <w:rFonts w:cs="Arial"/>
          <w:b/>
          <w:bCs w:val="0"/>
          <w:color w:val="808080" w:themeColor="background1" w:themeShade="80"/>
          <w:szCs w:val="24"/>
        </w:rPr>
        <w:t>Data Protection</w:t>
      </w:r>
    </w:p>
    <w:p w14:paraId="28BF1A7E"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Under the GDPR/Data Protection Act 2018 personal data about an individual’s health is classed as ‘special category’ personal data. Further requirements are set out under the law that must be met before this type of data can be used.</w:t>
      </w:r>
    </w:p>
    <w:p w14:paraId="46681243" w14:textId="77777777" w:rsidR="00C6330F" w:rsidRPr="005A3136" w:rsidRDefault="00C6330F" w:rsidP="00C6330F">
      <w:pPr>
        <w:spacing w:before="0" w:after="0" w:line="276" w:lineRule="auto"/>
        <w:jc w:val="both"/>
        <w:rPr>
          <w:rFonts w:cs="Arial"/>
          <w:bCs w:val="0"/>
          <w:color w:val="808080" w:themeColor="background1" w:themeShade="80"/>
          <w:szCs w:val="24"/>
        </w:rPr>
      </w:pPr>
    </w:p>
    <w:p w14:paraId="219180EA"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The HRA ha</w:t>
      </w:r>
      <w:r w:rsidR="00C537FE" w:rsidRPr="005A3136">
        <w:rPr>
          <w:rFonts w:cs="Arial"/>
          <w:bCs w:val="0"/>
          <w:color w:val="808080" w:themeColor="background1" w:themeShade="80"/>
          <w:szCs w:val="24"/>
        </w:rPr>
        <w:t>s</w:t>
      </w:r>
      <w:r w:rsidRPr="005A3136">
        <w:rPr>
          <w:rFonts w:cs="Arial"/>
          <w:bCs w:val="0"/>
          <w:color w:val="808080" w:themeColor="background1" w:themeShade="80"/>
          <w:szCs w:val="24"/>
        </w:rPr>
        <w:t xml:space="preserve"> provided guidance for researchers and study co-ordinators:</w:t>
      </w:r>
    </w:p>
    <w:p w14:paraId="660B4C0D" w14:textId="77777777" w:rsidR="00C6330F" w:rsidRPr="005A3136" w:rsidRDefault="00EF15FC" w:rsidP="00C6330F">
      <w:pPr>
        <w:spacing w:before="0" w:after="0" w:line="276" w:lineRule="auto"/>
        <w:jc w:val="both"/>
        <w:rPr>
          <w:rFonts w:cs="Arial"/>
          <w:bCs w:val="0"/>
          <w:color w:val="808080" w:themeColor="background1" w:themeShade="80"/>
          <w:szCs w:val="24"/>
        </w:rPr>
      </w:pPr>
      <w:hyperlink r:id="rId25" w:history="1">
        <w:r w:rsidR="00C6330F" w:rsidRPr="005A3136">
          <w:rPr>
            <w:rStyle w:val="Hyperlink"/>
            <w:rFonts w:cs="Arial"/>
            <w:bCs w:val="0"/>
            <w:color w:val="808080" w:themeColor="background1" w:themeShade="80"/>
            <w:szCs w:val="24"/>
          </w:rPr>
          <w:t>https://www.hra.nhs.uk/planning-and-improving-research/policies-standards-legislation/data-protection-and-information-governance/gdpr-guidance/</w:t>
        </w:r>
      </w:hyperlink>
      <w:r w:rsidR="00821900" w:rsidRPr="005A3136">
        <w:rPr>
          <w:rStyle w:val="Hyperlink"/>
          <w:rFonts w:cs="Arial"/>
          <w:bCs w:val="0"/>
          <w:color w:val="808080" w:themeColor="background1" w:themeShade="80"/>
          <w:szCs w:val="24"/>
        </w:rPr>
        <w:t>.</w:t>
      </w:r>
    </w:p>
    <w:p w14:paraId="5A716DA8" w14:textId="77777777" w:rsidR="00C6330F" w:rsidRPr="005A3136" w:rsidRDefault="00C6330F" w:rsidP="00C6330F">
      <w:pPr>
        <w:spacing w:before="0" w:after="0" w:line="276" w:lineRule="auto"/>
        <w:jc w:val="both"/>
        <w:rPr>
          <w:rFonts w:cs="Arial"/>
          <w:bCs w:val="0"/>
          <w:color w:val="808080" w:themeColor="background1" w:themeShade="80"/>
          <w:szCs w:val="24"/>
        </w:rPr>
      </w:pPr>
    </w:p>
    <w:p w14:paraId="4C88A531" w14:textId="77777777" w:rsidR="00C6330F" w:rsidRPr="005A3136" w:rsidRDefault="00C6330F" w:rsidP="00C6330F">
      <w:pPr>
        <w:spacing w:before="0" w:after="0" w:line="276" w:lineRule="auto"/>
        <w:jc w:val="both"/>
        <w:rPr>
          <w:rFonts w:cs="Arial"/>
          <w:bCs w:val="0"/>
          <w:color w:val="808080" w:themeColor="background1" w:themeShade="80"/>
          <w:szCs w:val="24"/>
        </w:rPr>
      </w:pPr>
      <w:r w:rsidRPr="005A3136">
        <w:rPr>
          <w:rFonts w:cs="Arial"/>
          <w:bCs w:val="0"/>
          <w:color w:val="808080" w:themeColor="background1" w:themeShade="80"/>
          <w:szCs w:val="24"/>
        </w:rPr>
        <w:t>They have also produced material for data protection officers and research governance managers:</w:t>
      </w:r>
    </w:p>
    <w:p w14:paraId="31361681" w14:textId="77777777" w:rsidR="00C6330F" w:rsidRPr="005A3136" w:rsidRDefault="00EF15FC" w:rsidP="00C6330F">
      <w:pPr>
        <w:spacing w:before="0" w:after="0" w:line="276" w:lineRule="auto"/>
        <w:jc w:val="both"/>
        <w:rPr>
          <w:rFonts w:cs="Arial"/>
          <w:bCs w:val="0"/>
          <w:color w:val="808080" w:themeColor="background1" w:themeShade="80"/>
          <w:szCs w:val="24"/>
        </w:rPr>
      </w:pPr>
      <w:hyperlink r:id="rId26" w:history="1">
        <w:r w:rsidR="00C6330F" w:rsidRPr="005A3136">
          <w:rPr>
            <w:rStyle w:val="Hyperlink"/>
            <w:rFonts w:cs="Arial"/>
            <w:color w:val="808080" w:themeColor="background1" w:themeShade="80"/>
            <w:szCs w:val="24"/>
          </w:rPr>
          <w:t>https://www.hra.nhs.uk/planning-and-improving-research/policies-standards-legislation/data-protection-and-information-governance/gdpr-detailed-guidance/</w:t>
        </w:r>
      </w:hyperlink>
      <w:r w:rsidR="00821900" w:rsidRPr="005A3136">
        <w:rPr>
          <w:rStyle w:val="Hyperlink"/>
          <w:rFonts w:cs="Arial"/>
          <w:color w:val="808080" w:themeColor="background1" w:themeShade="80"/>
          <w:szCs w:val="24"/>
        </w:rPr>
        <w:t>.</w:t>
      </w:r>
      <w:r w:rsidR="00C6330F" w:rsidRPr="005A3136">
        <w:rPr>
          <w:rFonts w:cs="Arial"/>
          <w:bCs w:val="0"/>
          <w:color w:val="808080" w:themeColor="background1" w:themeShade="80"/>
          <w:szCs w:val="24"/>
        </w:rPr>
        <w:t xml:space="preserve"> </w:t>
      </w:r>
    </w:p>
    <w:p w14:paraId="030A1434" w14:textId="77777777" w:rsidR="00C6330F" w:rsidRPr="005A3136" w:rsidRDefault="00C6330F" w:rsidP="00C6330F">
      <w:pPr>
        <w:spacing w:before="0" w:after="0" w:line="276" w:lineRule="auto"/>
        <w:jc w:val="both"/>
        <w:rPr>
          <w:rFonts w:cs="Arial"/>
          <w:b/>
          <w:color w:val="808080" w:themeColor="background1" w:themeShade="80"/>
          <w:szCs w:val="24"/>
        </w:rPr>
      </w:pPr>
    </w:p>
    <w:p w14:paraId="34B5D15A" w14:textId="77777777" w:rsidR="00C6330F" w:rsidRPr="005A3136" w:rsidRDefault="00C6330F" w:rsidP="00C6330F">
      <w:pPr>
        <w:spacing w:before="0" w:after="0" w:line="276" w:lineRule="auto"/>
        <w:jc w:val="both"/>
        <w:rPr>
          <w:rFonts w:cs="Arial"/>
          <w:b/>
          <w:bCs w:val="0"/>
          <w:color w:val="808080" w:themeColor="background1" w:themeShade="80"/>
          <w:szCs w:val="24"/>
        </w:rPr>
      </w:pPr>
      <w:r w:rsidRPr="005A3136">
        <w:rPr>
          <w:rFonts w:cs="Arial"/>
          <w:b/>
          <w:color w:val="808080" w:themeColor="background1" w:themeShade="80"/>
          <w:szCs w:val="24"/>
        </w:rPr>
        <w:t xml:space="preserve">Confidential </w:t>
      </w:r>
      <w:r w:rsidR="00821900" w:rsidRPr="005A3136">
        <w:rPr>
          <w:rFonts w:cs="Arial"/>
          <w:b/>
          <w:color w:val="808080" w:themeColor="background1" w:themeShade="80"/>
          <w:szCs w:val="24"/>
        </w:rPr>
        <w:t>P</w:t>
      </w:r>
      <w:r w:rsidRPr="005A3136">
        <w:rPr>
          <w:rFonts w:cs="Arial"/>
          <w:b/>
          <w:color w:val="808080" w:themeColor="background1" w:themeShade="80"/>
          <w:szCs w:val="24"/>
        </w:rPr>
        <w:t xml:space="preserve">atient </w:t>
      </w:r>
      <w:r w:rsidR="00821900" w:rsidRPr="005A3136">
        <w:rPr>
          <w:rFonts w:cs="Arial"/>
          <w:b/>
          <w:color w:val="808080" w:themeColor="background1" w:themeShade="80"/>
          <w:szCs w:val="24"/>
        </w:rPr>
        <w:t>I</w:t>
      </w:r>
      <w:r w:rsidRPr="005A3136">
        <w:rPr>
          <w:rFonts w:cs="Arial"/>
          <w:b/>
          <w:color w:val="808080" w:themeColor="background1" w:themeShade="80"/>
          <w:szCs w:val="24"/>
        </w:rPr>
        <w:t>nformation</w:t>
      </w:r>
      <w:r w:rsidR="00821900" w:rsidRPr="005A3136">
        <w:rPr>
          <w:rFonts w:cs="Arial"/>
          <w:b/>
          <w:color w:val="808080" w:themeColor="background1" w:themeShade="80"/>
          <w:szCs w:val="24"/>
        </w:rPr>
        <w:t xml:space="preserve"> (CPI)</w:t>
      </w:r>
    </w:p>
    <w:p w14:paraId="3E2D47F5" w14:textId="77777777" w:rsidR="00C6330F" w:rsidRPr="005A3136" w:rsidRDefault="00C6330F" w:rsidP="00C6330F">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 next consideration is how to meet the requirements of the common law duty of confidence (CLDC) and which applies to ‘confidential patient information’ as defined under the NHS Act 2006. </w:t>
      </w:r>
    </w:p>
    <w:p w14:paraId="6A2E5FD0" w14:textId="77777777" w:rsidR="00CF402A" w:rsidRPr="005A3136" w:rsidRDefault="00CF402A" w:rsidP="00C6330F">
      <w:pPr>
        <w:spacing w:before="0" w:after="0" w:line="276" w:lineRule="auto"/>
        <w:jc w:val="both"/>
        <w:rPr>
          <w:rFonts w:cs="Arial"/>
          <w:color w:val="808080" w:themeColor="background1" w:themeShade="80"/>
          <w:szCs w:val="24"/>
        </w:rPr>
      </w:pPr>
    </w:p>
    <w:p w14:paraId="101E984A" w14:textId="77777777" w:rsidR="00C6330F" w:rsidRPr="005A3136" w:rsidRDefault="00C6330F" w:rsidP="00C6330F">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The HRA is responsible for the operation of the </w:t>
      </w:r>
      <w:r w:rsidR="00E775F5" w:rsidRPr="005A3136">
        <w:rPr>
          <w:rFonts w:cs="Arial"/>
          <w:color w:val="808080" w:themeColor="background1" w:themeShade="80"/>
          <w:szCs w:val="24"/>
        </w:rPr>
        <w:t>Confidentiality Advisory Group (CAG)</w:t>
      </w:r>
      <w:r w:rsidRPr="005A3136">
        <w:rPr>
          <w:rStyle w:val="FootnoteReference"/>
          <w:rFonts w:cs="Arial"/>
          <w:color w:val="808080" w:themeColor="background1" w:themeShade="80"/>
          <w:szCs w:val="24"/>
        </w:rPr>
        <w:footnoteReference w:id="14"/>
      </w:r>
      <w:r w:rsidRPr="005A3136">
        <w:rPr>
          <w:rFonts w:cs="Arial"/>
          <w:color w:val="808080" w:themeColor="background1" w:themeShade="80"/>
          <w:szCs w:val="24"/>
        </w:rPr>
        <w:t xml:space="preserve"> which considers applications for support under the NHS Act 2006 s251. This allows the HRA to set aside the duty of confidence where confidential information is required for medical research and obtaining patient consent is not feasible. </w:t>
      </w:r>
    </w:p>
    <w:p w14:paraId="00C50DAD" w14:textId="77777777" w:rsidR="00C6330F" w:rsidRPr="005A3136" w:rsidRDefault="00C6330F" w:rsidP="00C6330F">
      <w:pPr>
        <w:spacing w:before="0" w:after="0" w:line="276" w:lineRule="auto"/>
        <w:jc w:val="both"/>
        <w:rPr>
          <w:rFonts w:cs="Arial"/>
          <w:color w:val="808080" w:themeColor="background1" w:themeShade="80"/>
          <w:szCs w:val="24"/>
        </w:rPr>
      </w:pPr>
    </w:p>
    <w:p w14:paraId="22AA6191" w14:textId="77777777" w:rsidR="00C6330F" w:rsidRPr="005A3136" w:rsidRDefault="00C6330F" w:rsidP="00C6330F">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If the planned medical research is based on gaining the explicit consent of patients then this will satisfy the requirements of the CLDC (note an alternative condition to explicit consent should be used to satisfy data protection compliance). However</w:t>
      </w:r>
      <w:r w:rsidR="00CB5A05" w:rsidRPr="005A3136">
        <w:rPr>
          <w:rFonts w:cs="Arial"/>
          <w:color w:val="808080" w:themeColor="background1" w:themeShade="80"/>
          <w:szCs w:val="24"/>
        </w:rPr>
        <w:t>,</w:t>
      </w:r>
      <w:r w:rsidRPr="005A3136">
        <w:rPr>
          <w:rFonts w:cs="Arial"/>
          <w:color w:val="808080" w:themeColor="background1" w:themeShade="80"/>
          <w:szCs w:val="24"/>
        </w:rPr>
        <w:t xml:space="preserve"> where it is planned to use confidential patient information for medical research without the explicit consent of patients because it is not feasible, then an application will need to be made to CAG through the HRA </w:t>
      </w:r>
      <w:r w:rsidR="00C537FE" w:rsidRPr="005A3136">
        <w:rPr>
          <w:rFonts w:cs="Arial"/>
          <w:color w:val="808080" w:themeColor="background1" w:themeShade="80"/>
          <w:szCs w:val="24"/>
        </w:rPr>
        <w:t>a</w:t>
      </w:r>
      <w:r w:rsidRPr="005A3136">
        <w:rPr>
          <w:rFonts w:cs="Arial"/>
          <w:color w:val="808080" w:themeColor="background1" w:themeShade="80"/>
          <w:szCs w:val="24"/>
        </w:rPr>
        <w:t>pproval’s process. The details on how to make such an application can be found here:</w:t>
      </w:r>
    </w:p>
    <w:p w14:paraId="7D6DC899" w14:textId="77777777" w:rsidR="00C6330F" w:rsidRPr="005A3136" w:rsidRDefault="00EF15FC" w:rsidP="00C6330F">
      <w:pPr>
        <w:spacing w:before="0" w:after="0" w:line="276" w:lineRule="auto"/>
        <w:jc w:val="both"/>
        <w:rPr>
          <w:rFonts w:cs="Arial"/>
          <w:color w:val="808080" w:themeColor="background1" w:themeShade="80"/>
          <w:szCs w:val="24"/>
        </w:rPr>
      </w:pPr>
      <w:hyperlink r:id="rId27" w:history="1">
        <w:r w:rsidR="00C6330F" w:rsidRPr="005A3136">
          <w:rPr>
            <w:rStyle w:val="Hyperlink"/>
            <w:rFonts w:cs="Arial"/>
            <w:color w:val="808080" w:themeColor="background1" w:themeShade="80"/>
            <w:szCs w:val="24"/>
          </w:rPr>
          <w:t>https://www.hra.nhs.uk/approvals-amendments/what-approvals-do-i-need/confidentiality-advisory-group/</w:t>
        </w:r>
      </w:hyperlink>
    </w:p>
    <w:p w14:paraId="77B58183" w14:textId="77777777" w:rsidR="00C6330F" w:rsidRPr="005A3136" w:rsidRDefault="00C6330F" w:rsidP="00C6330F">
      <w:pPr>
        <w:spacing w:before="0" w:after="0" w:line="276" w:lineRule="auto"/>
        <w:jc w:val="both"/>
        <w:rPr>
          <w:rFonts w:cs="Arial"/>
          <w:b/>
          <w:color w:val="808080" w:themeColor="background1" w:themeShade="80"/>
          <w:szCs w:val="24"/>
        </w:rPr>
      </w:pPr>
    </w:p>
    <w:p w14:paraId="093684CA" w14:textId="77777777" w:rsidR="00C6330F" w:rsidRPr="005A3136" w:rsidRDefault="00C6330F" w:rsidP="00C6330F">
      <w:pPr>
        <w:spacing w:before="0" w:after="0" w:line="276" w:lineRule="auto"/>
        <w:jc w:val="both"/>
        <w:rPr>
          <w:rFonts w:cs="Arial"/>
          <w:b/>
          <w:color w:val="808080" w:themeColor="background1" w:themeShade="80"/>
          <w:szCs w:val="24"/>
        </w:rPr>
      </w:pPr>
      <w:r w:rsidRPr="005A3136">
        <w:rPr>
          <w:rFonts w:cs="Arial"/>
          <w:b/>
          <w:color w:val="808080" w:themeColor="background1" w:themeShade="80"/>
          <w:szCs w:val="24"/>
        </w:rPr>
        <w:t>Medical research ethics</w:t>
      </w:r>
    </w:p>
    <w:p w14:paraId="0B90F926" w14:textId="77777777" w:rsidR="00B97CA6" w:rsidRDefault="00C6330F" w:rsidP="002F1BD1">
      <w:pPr>
        <w:spacing w:before="0" w:after="0" w:line="276" w:lineRule="auto"/>
        <w:jc w:val="both"/>
        <w:rPr>
          <w:rFonts w:cs="Arial"/>
          <w:color w:val="808080" w:themeColor="background1" w:themeShade="80"/>
          <w:szCs w:val="24"/>
        </w:rPr>
      </w:pPr>
      <w:r w:rsidRPr="005A3136">
        <w:rPr>
          <w:rFonts w:cs="Arial"/>
          <w:color w:val="808080" w:themeColor="background1" w:themeShade="80"/>
          <w:szCs w:val="24"/>
        </w:rPr>
        <w:t xml:space="preserve">Although technically part of an organisation’s Caldicott Guardian role, there does need to be </w:t>
      </w:r>
      <w:r w:rsidR="00A11674" w:rsidRPr="005A3136">
        <w:rPr>
          <w:rFonts w:cs="Arial"/>
          <w:color w:val="808080" w:themeColor="background1" w:themeShade="80"/>
          <w:szCs w:val="24"/>
        </w:rPr>
        <w:t xml:space="preserve">information governance </w:t>
      </w:r>
      <w:r w:rsidRPr="005A3136">
        <w:rPr>
          <w:rFonts w:cs="Arial"/>
          <w:color w:val="808080" w:themeColor="background1" w:themeShade="80"/>
          <w:szCs w:val="24"/>
        </w:rPr>
        <w:t xml:space="preserve">awareness of the requirement for ethical approval from a Research Ethics Committee (REC) which are also run by the HRA. The reason for this is that without REC support, </w:t>
      </w:r>
      <w:r w:rsidR="00732843" w:rsidRPr="005A3136">
        <w:rPr>
          <w:rFonts w:cs="Arial"/>
          <w:color w:val="808080" w:themeColor="background1" w:themeShade="80"/>
          <w:szCs w:val="24"/>
        </w:rPr>
        <w:t>any processing of data for health research would not be being undertaken with a lawful basis even if the explicit consent of patients was obtained.</w:t>
      </w:r>
      <w:r w:rsidR="009E1045" w:rsidRPr="005A3136">
        <w:rPr>
          <w:rFonts w:cs="Arial"/>
          <w:color w:val="808080" w:themeColor="background1" w:themeShade="80"/>
          <w:szCs w:val="24"/>
        </w:rPr>
        <w:t xml:space="preserve"> </w:t>
      </w:r>
      <w:r w:rsidRPr="005A3136">
        <w:rPr>
          <w:rFonts w:cs="Arial"/>
          <w:color w:val="808080" w:themeColor="background1" w:themeShade="80"/>
          <w:szCs w:val="24"/>
        </w:rPr>
        <w:t>This in turn breaches the requirement of Art. 5 (1)(a) of the GDPR.</w:t>
      </w:r>
    </w:p>
    <w:p w14:paraId="53B2F062" w14:textId="77777777" w:rsidR="00B97CA6" w:rsidRDefault="00B97CA6" w:rsidP="002F1BD1">
      <w:pPr>
        <w:spacing w:before="0" w:after="0" w:line="276" w:lineRule="auto"/>
        <w:jc w:val="both"/>
        <w:rPr>
          <w:rFonts w:cs="Arial"/>
          <w:color w:val="808080" w:themeColor="background1" w:themeShade="80"/>
          <w:szCs w:val="24"/>
        </w:rPr>
      </w:pPr>
    </w:p>
    <w:p w14:paraId="12BCC7AE" w14:textId="77777777" w:rsidR="00B97CA6" w:rsidRPr="009907FB" w:rsidRDefault="00B97CA6" w:rsidP="009907FB">
      <w:pPr>
        <w:spacing w:before="0" w:after="0" w:line="276" w:lineRule="auto"/>
        <w:jc w:val="both"/>
        <w:rPr>
          <w:rFonts w:ascii="Calibri" w:hAnsi="Calibri"/>
          <w:bCs w:val="0"/>
          <w:color w:val="808080" w:themeColor="background1" w:themeShade="80"/>
          <w:szCs w:val="24"/>
        </w:rPr>
      </w:pPr>
      <w:r w:rsidRPr="009907FB">
        <w:rPr>
          <w:b/>
          <w:bCs w:val="0"/>
          <w:color w:val="808080" w:themeColor="background1" w:themeShade="80"/>
          <w:szCs w:val="24"/>
        </w:rPr>
        <w:t>Digital Innovation Hubs </w:t>
      </w:r>
    </w:p>
    <w:p w14:paraId="05201062" w14:textId="0A1A3069" w:rsidR="00C60209" w:rsidRPr="009907FB" w:rsidRDefault="00C60209" w:rsidP="009907FB">
      <w:pPr>
        <w:spacing w:before="0" w:after="0" w:line="276" w:lineRule="auto"/>
        <w:jc w:val="both"/>
        <w:rPr>
          <w:rFonts w:ascii="Calibri" w:hAnsi="Calibri"/>
          <w:bCs w:val="0"/>
          <w:color w:val="808080" w:themeColor="background1" w:themeShade="80"/>
          <w:sz w:val="22"/>
          <w:szCs w:val="22"/>
        </w:rPr>
      </w:pPr>
      <w:r w:rsidRPr="009907FB">
        <w:rPr>
          <w:color w:val="808080" w:themeColor="background1" w:themeShade="80"/>
        </w:rPr>
        <w:t xml:space="preserve">Health Data Research UK is leading on the delivery of Digital Innovation Hubs which will support the responsible and safe use of data for research and innovation.  The Digital Innovation Hub Programme aims to enable a UK-wide life sciences ecosystem that provides access to health data, technology and science, research and innovation services to ask and answer important health and care questions.   Anonymous data from LHCRs could in the future contribute to answering some of these questions.  Digital Innovation Hubs will not change the legal basis for accessing data so the information governance requirements set out in this journey will apply.  Any use of confidential patient information would require patient consent or section 251 </w:t>
      </w:r>
      <w:r w:rsidR="00B332FE" w:rsidRPr="009907FB">
        <w:rPr>
          <w:color w:val="808080" w:themeColor="background1" w:themeShade="80"/>
        </w:rPr>
        <w:t>support</w:t>
      </w:r>
      <w:r w:rsidRPr="009907FB">
        <w:rPr>
          <w:color w:val="808080" w:themeColor="background1" w:themeShade="80"/>
        </w:rPr>
        <w:t>.  </w:t>
      </w:r>
    </w:p>
    <w:p w14:paraId="497C2AD2" w14:textId="77777777" w:rsidR="00A53C66" w:rsidRPr="009907FB" w:rsidRDefault="00A53C66" w:rsidP="009907FB">
      <w:pPr>
        <w:spacing w:before="0" w:after="0" w:line="276" w:lineRule="auto"/>
        <w:jc w:val="both"/>
        <w:rPr>
          <w:rFonts w:cs="Arial"/>
          <w:color w:val="808080" w:themeColor="background1" w:themeShade="80"/>
          <w:szCs w:val="24"/>
        </w:rPr>
      </w:pPr>
      <w:r w:rsidRPr="009907FB">
        <w:rPr>
          <w:rFonts w:cs="Arial"/>
          <w:color w:val="808080" w:themeColor="background1" w:themeShade="80"/>
          <w:szCs w:val="24"/>
        </w:rPr>
        <w:br w:type="page"/>
      </w:r>
    </w:p>
    <w:p w14:paraId="3B83A969" w14:textId="77777777" w:rsidR="004F2045" w:rsidRPr="00032CF3" w:rsidRDefault="004F2045" w:rsidP="004F2045">
      <w:pPr>
        <w:pStyle w:val="Heading1"/>
        <w:numPr>
          <w:ilvl w:val="0"/>
          <w:numId w:val="0"/>
        </w:numPr>
        <w:rPr>
          <w:rFonts w:cs="Arial"/>
        </w:rPr>
      </w:pPr>
      <w:bookmarkStart w:id="63" w:name="_Toc10223078"/>
      <w:r w:rsidRPr="00032CF3">
        <w:rPr>
          <w:rFonts w:cs="Arial"/>
        </w:rPr>
        <w:lastRenderedPageBreak/>
        <w:t>Appendices</w:t>
      </w:r>
      <w:bookmarkEnd w:id="63"/>
    </w:p>
    <w:p w14:paraId="4506E2EE" w14:textId="77777777" w:rsidR="00941823" w:rsidRPr="00032CF3" w:rsidRDefault="00941823" w:rsidP="00941823">
      <w:pPr>
        <w:pStyle w:val="Heading2"/>
        <w:rPr>
          <w:rFonts w:cs="Arial"/>
        </w:rPr>
      </w:pPr>
      <w:bookmarkStart w:id="64" w:name="_Toc10223079"/>
      <w:r w:rsidRPr="00032CF3">
        <w:rPr>
          <w:rFonts w:cs="Arial"/>
        </w:rPr>
        <w:t>Appendix A - Glossary</w:t>
      </w:r>
      <w:r w:rsidR="005A6C72">
        <w:rPr>
          <w:rFonts w:cs="Arial"/>
        </w:rPr>
        <w:t xml:space="preserve"> for the Information Governance Framework</w:t>
      </w:r>
      <w:bookmarkEnd w:id="64"/>
    </w:p>
    <w:p w14:paraId="343CB0BC" w14:textId="77777777" w:rsidR="00DB08BE" w:rsidRDefault="00DB08BE" w:rsidP="00941823">
      <w:pPr>
        <w:rPr>
          <w:rFonts w:cs="Arial"/>
          <w:b/>
          <w:szCs w:val="24"/>
        </w:rPr>
      </w:pPr>
    </w:p>
    <w:p w14:paraId="1754E1D5" w14:textId="77777777" w:rsidR="00941823" w:rsidRPr="00032CF3" w:rsidRDefault="00941823" w:rsidP="00941823">
      <w:pPr>
        <w:rPr>
          <w:rFonts w:cs="Arial"/>
          <w:b/>
          <w:szCs w:val="24"/>
        </w:rPr>
      </w:pPr>
      <w:r w:rsidRPr="00032CF3">
        <w:rPr>
          <w:rFonts w:cs="Arial"/>
          <w:b/>
          <w:szCs w:val="24"/>
        </w:rPr>
        <w:t xml:space="preserve">Glossary </w:t>
      </w:r>
    </w:p>
    <w:tbl>
      <w:tblPr>
        <w:tblStyle w:val="TableElegant"/>
        <w:tblW w:w="10060" w:type="dxa"/>
        <w:tblLook w:val="04A0" w:firstRow="1" w:lastRow="0" w:firstColumn="1" w:lastColumn="0" w:noHBand="0" w:noVBand="1"/>
      </w:tblPr>
      <w:tblGrid>
        <w:gridCol w:w="3253"/>
        <w:gridCol w:w="6807"/>
      </w:tblGrid>
      <w:tr w:rsidR="00941823" w:rsidRPr="00032CF3" w14:paraId="30317B56" w14:textId="77777777" w:rsidTr="00C929BD">
        <w:trPr>
          <w:cnfStyle w:val="100000000000" w:firstRow="1" w:lastRow="0" w:firstColumn="0" w:lastColumn="0" w:oddVBand="0" w:evenVBand="0" w:oddHBand="0" w:evenHBand="0" w:firstRowFirstColumn="0" w:firstRowLastColumn="0" w:lastRowFirstColumn="0" w:lastRowLastColumn="0"/>
        </w:trPr>
        <w:tc>
          <w:tcPr>
            <w:tcW w:w="3253" w:type="dxa"/>
          </w:tcPr>
          <w:p w14:paraId="2E68716F" w14:textId="77777777" w:rsidR="00941823" w:rsidRPr="00032CF3" w:rsidRDefault="00941823" w:rsidP="00C929BD">
            <w:pPr>
              <w:rPr>
                <w:rFonts w:cs="Arial"/>
                <w:b/>
                <w:szCs w:val="24"/>
              </w:rPr>
            </w:pPr>
            <w:bookmarkStart w:id="65" w:name="_Hlk6392820"/>
            <w:r w:rsidRPr="00032CF3">
              <w:rPr>
                <w:rFonts w:cs="Arial"/>
                <w:b/>
                <w:szCs w:val="24"/>
              </w:rPr>
              <w:t>Term</w:t>
            </w:r>
          </w:p>
        </w:tc>
        <w:tc>
          <w:tcPr>
            <w:tcW w:w="6807" w:type="dxa"/>
          </w:tcPr>
          <w:p w14:paraId="77D48CFB" w14:textId="77777777" w:rsidR="00941823" w:rsidRPr="00032CF3" w:rsidRDefault="00941823" w:rsidP="00C929BD">
            <w:pPr>
              <w:rPr>
                <w:rFonts w:cs="Arial"/>
                <w:b/>
                <w:szCs w:val="24"/>
              </w:rPr>
            </w:pPr>
            <w:r w:rsidRPr="00032CF3">
              <w:rPr>
                <w:rFonts w:cs="Arial"/>
                <w:b/>
                <w:szCs w:val="24"/>
              </w:rPr>
              <w:t>Definition</w:t>
            </w:r>
          </w:p>
        </w:tc>
      </w:tr>
      <w:tr w:rsidR="00941823" w:rsidRPr="00032CF3" w14:paraId="629981B2" w14:textId="77777777" w:rsidTr="00C929BD">
        <w:tc>
          <w:tcPr>
            <w:tcW w:w="3253" w:type="dxa"/>
            <w:vAlign w:val="center"/>
          </w:tcPr>
          <w:p w14:paraId="75555959" w14:textId="77777777" w:rsidR="00941823" w:rsidRPr="00032CF3" w:rsidRDefault="00941823" w:rsidP="00C929BD">
            <w:pPr>
              <w:rPr>
                <w:rFonts w:cs="Arial"/>
                <w:szCs w:val="24"/>
              </w:rPr>
            </w:pPr>
            <w:r w:rsidRPr="00032CF3">
              <w:rPr>
                <w:rFonts w:cs="Arial"/>
                <w:szCs w:val="24"/>
              </w:rPr>
              <w:t>Accountability</w:t>
            </w:r>
          </w:p>
        </w:tc>
        <w:tc>
          <w:tcPr>
            <w:tcW w:w="6807" w:type="dxa"/>
          </w:tcPr>
          <w:p w14:paraId="665193A1" w14:textId="77777777" w:rsidR="00941823" w:rsidRPr="00032CF3" w:rsidRDefault="00941823" w:rsidP="00C929BD">
            <w:pPr>
              <w:ind w:left="8"/>
              <w:rPr>
                <w:rFonts w:cs="Arial"/>
                <w:szCs w:val="24"/>
              </w:rPr>
            </w:pPr>
            <w:r w:rsidRPr="00032CF3">
              <w:rPr>
                <w:rFonts w:cs="Arial"/>
                <w:szCs w:val="24"/>
              </w:rPr>
              <w:t>Accountability is one of the data protection principles - it makes the Data Controller responsible for complying with the GDPR and able to demonstrate compliance.</w:t>
            </w:r>
          </w:p>
        </w:tc>
      </w:tr>
      <w:tr w:rsidR="005B4CB7" w:rsidRPr="00032CF3" w14:paraId="503919D6" w14:textId="77777777" w:rsidTr="00C929BD">
        <w:tc>
          <w:tcPr>
            <w:tcW w:w="3253" w:type="dxa"/>
            <w:vAlign w:val="center"/>
          </w:tcPr>
          <w:p w14:paraId="36116D52" w14:textId="77777777" w:rsidR="005B4CB7" w:rsidRPr="00032CF3" w:rsidRDefault="005B4CB7" w:rsidP="00C929BD">
            <w:pPr>
              <w:rPr>
                <w:rFonts w:cs="Arial"/>
                <w:szCs w:val="24"/>
              </w:rPr>
            </w:pPr>
            <w:r>
              <w:t>Anonymous Data  </w:t>
            </w:r>
          </w:p>
        </w:tc>
        <w:tc>
          <w:tcPr>
            <w:tcW w:w="6807" w:type="dxa"/>
          </w:tcPr>
          <w:p w14:paraId="559BAC98" w14:textId="77777777" w:rsidR="005B4CB7" w:rsidRPr="00032CF3" w:rsidRDefault="005B4CB7" w:rsidP="005B4CB7">
            <w:pPr>
              <w:rPr>
                <w:rFonts w:cs="Arial"/>
                <w:szCs w:val="24"/>
              </w:rPr>
            </w:pPr>
            <w:r>
              <w:rPr>
                <w:lang w:val="en-US"/>
              </w:rPr>
              <w:t xml:space="preserve">Information which does not relate to an identified or identifiable natural person or to personal data rendered anonymous in such a manner that the data subject is not or no longer identifiable. </w:t>
            </w:r>
          </w:p>
        </w:tc>
      </w:tr>
      <w:tr w:rsidR="00941823" w:rsidRPr="00032CF3" w14:paraId="1F8A0C2D" w14:textId="77777777" w:rsidTr="00C929BD">
        <w:tc>
          <w:tcPr>
            <w:tcW w:w="3253" w:type="dxa"/>
            <w:vAlign w:val="center"/>
          </w:tcPr>
          <w:p w14:paraId="39A0FFAF" w14:textId="77777777" w:rsidR="00941823" w:rsidRPr="00032CF3" w:rsidRDefault="00941823" w:rsidP="00C929BD">
            <w:pPr>
              <w:rPr>
                <w:rFonts w:cs="Arial"/>
                <w:szCs w:val="24"/>
                <w:highlight w:val="yellow"/>
              </w:rPr>
            </w:pPr>
            <w:r w:rsidRPr="00032CF3">
              <w:rPr>
                <w:rFonts w:cs="Arial"/>
                <w:szCs w:val="24"/>
              </w:rPr>
              <w:t>Biometric data</w:t>
            </w:r>
          </w:p>
        </w:tc>
        <w:tc>
          <w:tcPr>
            <w:tcW w:w="6807" w:type="dxa"/>
          </w:tcPr>
          <w:p w14:paraId="707DA75A" w14:textId="77777777" w:rsidR="00941823" w:rsidRPr="00032CF3" w:rsidRDefault="00941823" w:rsidP="00C929BD">
            <w:pPr>
              <w:rPr>
                <w:rFonts w:cs="Arial"/>
                <w:szCs w:val="24"/>
              </w:rPr>
            </w:pPr>
            <w:r w:rsidRPr="00032CF3">
              <w:rPr>
                <w:rFonts w:cs="Arial"/>
                <w:szCs w:val="24"/>
              </w:rPr>
              <w:t>Personal data resulting from specific technical processing relating to the physical, physiological or behavioural characteristics of a natural person which allow or confirm the unique identification of that natural person, such as facial images or dactyloscopic (finger print) data.</w:t>
            </w:r>
          </w:p>
        </w:tc>
      </w:tr>
      <w:tr w:rsidR="00941823" w:rsidRPr="00032CF3" w14:paraId="379831F6" w14:textId="77777777" w:rsidTr="00C929BD">
        <w:tc>
          <w:tcPr>
            <w:tcW w:w="3253" w:type="dxa"/>
            <w:vAlign w:val="center"/>
          </w:tcPr>
          <w:p w14:paraId="0E01E428" w14:textId="77777777" w:rsidR="00941823" w:rsidRPr="00032CF3" w:rsidRDefault="00941823" w:rsidP="00C929BD">
            <w:pPr>
              <w:rPr>
                <w:rFonts w:cs="Arial"/>
                <w:szCs w:val="24"/>
              </w:rPr>
            </w:pPr>
            <w:r w:rsidRPr="00032CF3">
              <w:rPr>
                <w:rFonts w:cs="Arial"/>
                <w:szCs w:val="24"/>
              </w:rPr>
              <w:t xml:space="preserve">Breach </w:t>
            </w:r>
          </w:p>
        </w:tc>
        <w:tc>
          <w:tcPr>
            <w:tcW w:w="6807" w:type="dxa"/>
          </w:tcPr>
          <w:p w14:paraId="799A82C8" w14:textId="77777777" w:rsidR="00941823" w:rsidRPr="00032CF3" w:rsidRDefault="00941823" w:rsidP="00C929BD">
            <w:pPr>
              <w:rPr>
                <w:rFonts w:cs="Arial"/>
                <w:szCs w:val="24"/>
              </w:rPr>
            </w:pPr>
            <w:r w:rsidRPr="00032CF3">
              <w:rPr>
                <w:rFonts w:cs="Arial"/>
                <w:szCs w:val="24"/>
              </w:rPr>
              <w:t>Any failure to meet the requirements of the Data Protection Act and/or GDPR, unlawful disclosure or misuse of personal data and an inappropriate invasion of people’s privacy.  </w:t>
            </w:r>
          </w:p>
        </w:tc>
      </w:tr>
      <w:tr w:rsidR="00941823" w:rsidRPr="00032CF3" w14:paraId="55E8C15A" w14:textId="77777777" w:rsidTr="00C929BD">
        <w:tc>
          <w:tcPr>
            <w:tcW w:w="3253" w:type="dxa"/>
            <w:vAlign w:val="center"/>
          </w:tcPr>
          <w:p w14:paraId="64C17538" w14:textId="77777777" w:rsidR="00941823" w:rsidRPr="00032CF3" w:rsidRDefault="00941823" w:rsidP="00C929BD">
            <w:pPr>
              <w:rPr>
                <w:rFonts w:cs="Arial"/>
                <w:szCs w:val="24"/>
              </w:rPr>
            </w:pPr>
            <w:r w:rsidRPr="00032CF3">
              <w:rPr>
                <w:rFonts w:cs="Arial"/>
                <w:szCs w:val="24"/>
              </w:rPr>
              <w:t xml:space="preserve">Caldicott Guardian </w:t>
            </w:r>
          </w:p>
        </w:tc>
        <w:tc>
          <w:tcPr>
            <w:tcW w:w="6807" w:type="dxa"/>
          </w:tcPr>
          <w:p w14:paraId="6CBAD0CA" w14:textId="77777777" w:rsidR="00941823" w:rsidRPr="00032CF3" w:rsidRDefault="00941823" w:rsidP="00C929BD">
            <w:pPr>
              <w:rPr>
                <w:rFonts w:cs="Arial"/>
                <w:color w:val="FF0000"/>
                <w:szCs w:val="24"/>
              </w:rPr>
            </w:pPr>
            <w:r w:rsidRPr="00032CF3">
              <w:rPr>
                <w:rFonts w:cs="Arial"/>
                <w:szCs w:val="24"/>
              </w:rPr>
              <w:t>A senior person in an organisation responsible for protecting the confidentiality of patient information and enabling appropriate information sharing by providing advice to professionals and staff.</w:t>
            </w:r>
          </w:p>
        </w:tc>
      </w:tr>
      <w:tr w:rsidR="00941823" w:rsidRPr="00032CF3" w14:paraId="71026AAC" w14:textId="77777777" w:rsidTr="00C929BD">
        <w:tc>
          <w:tcPr>
            <w:tcW w:w="3253" w:type="dxa"/>
            <w:vAlign w:val="center"/>
          </w:tcPr>
          <w:p w14:paraId="5D4E9028" w14:textId="77777777" w:rsidR="00941823" w:rsidRPr="00032CF3" w:rsidRDefault="00941823" w:rsidP="00C929BD">
            <w:pPr>
              <w:rPr>
                <w:rFonts w:cs="Arial"/>
                <w:szCs w:val="24"/>
              </w:rPr>
            </w:pPr>
            <w:r w:rsidRPr="00032CF3">
              <w:rPr>
                <w:rFonts w:cs="Arial"/>
                <w:szCs w:val="24"/>
              </w:rPr>
              <w:t>Clinical Commissioning Group (CCG)</w:t>
            </w:r>
          </w:p>
        </w:tc>
        <w:tc>
          <w:tcPr>
            <w:tcW w:w="6807" w:type="dxa"/>
          </w:tcPr>
          <w:p w14:paraId="29FD2F0A" w14:textId="77777777" w:rsidR="00941823" w:rsidRPr="00032CF3" w:rsidRDefault="00941823" w:rsidP="00C929BD">
            <w:pPr>
              <w:rPr>
                <w:rFonts w:cs="Arial"/>
                <w:szCs w:val="24"/>
              </w:rPr>
            </w:pPr>
            <w:r w:rsidRPr="00032CF3">
              <w:rPr>
                <w:rFonts w:cs="Arial"/>
                <w:szCs w:val="24"/>
              </w:rPr>
              <w:t xml:space="preserve">Groups of GP practices, working with other healthcare professionals, which are responsible for commissioning most health and care services for patients. </w:t>
            </w:r>
          </w:p>
        </w:tc>
      </w:tr>
      <w:tr w:rsidR="00941823" w:rsidRPr="00032CF3" w14:paraId="34911CD7" w14:textId="77777777" w:rsidTr="00C929BD">
        <w:tc>
          <w:tcPr>
            <w:tcW w:w="3253" w:type="dxa"/>
            <w:vAlign w:val="center"/>
          </w:tcPr>
          <w:p w14:paraId="04C332BD" w14:textId="77777777" w:rsidR="00941823" w:rsidRPr="00032CF3" w:rsidRDefault="00941823" w:rsidP="00C929BD">
            <w:pPr>
              <w:rPr>
                <w:rFonts w:cs="Arial"/>
                <w:szCs w:val="24"/>
              </w:rPr>
            </w:pPr>
            <w:r w:rsidRPr="00032CF3">
              <w:rPr>
                <w:rFonts w:cs="Arial"/>
                <w:szCs w:val="24"/>
              </w:rPr>
              <w:t>Clinical S</w:t>
            </w:r>
            <w:r w:rsidR="007F774B">
              <w:rPr>
                <w:rFonts w:cs="Arial"/>
                <w:szCs w:val="24"/>
              </w:rPr>
              <w:t>afety</w:t>
            </w:r>
            <w:r w:rsidRPr="00032CF3">
              <w:rPr>
                <w:rFonts w:cs="Arial"/>
                <w:szCs w:val="24"/>
              </w:rPr>
              <w:t xml:space="preserve"> Officers (CSOs)</w:t>
            </w:r>
          </w:p>
        </w:tc>
        <w:tc>
          <w:tcPr>
            <w:tcW w:w="6807" w:type="dxa"/>
          </w:tcPr>
          <w:p w14:paraId="4F7E1FA7" w14:textId="77777777" w:rsidR="00941823" w:rsidRPr="007F774B" w:rsidRDefault="007F774B" w:rsidP="00C929BD">
            <w:pPr>
              <w:rPr>
                <w:rFonts w:cs="Arial"/>
                <w:szCs w:val="24"/>
              </w:rPr>
            </w:pPr>
            <w:r w:rsidRPr="007F774B">
              <w:rPr>
                <w:color w:val="000000"/>
                <w:szCs w:val="24"/>
              </w:rPr>
              <w:t xml:space="preserve">Person in a Manufacturer’s organisation responsible for ensuring the safety of a Health IT System in that organisation through the application of clinical risk management.  Further information about the responsibilities of a Clinical Safety Officer is set out in the clinical safety standards. </w:t>
            </w:r>
            <w:hyperlink r:id="rId28" w:history="1">
              <w:r w:rsidRPr="007F774B">
                <w:rPr>
                  <w:rStyle w:val="Hyperlink"/>
                  <w:szCs w:val="24"/>
                </w:rPr>
                <w:t>https://digital.nhs.uk/services/solution-assurance/the-clinical-safety-team</w:t>
              </w:r>
            </w:hyperlink>
          </w:p>
        </w:tc>
      </w:tr>
      <w:tr w:rsidR="00941823" w:rsidRPr="00032CF3" w14:paraId="775E9B17" w14:textId="77777777" w:rsidTr="00C929BD">
        <w:tc>
          <w:tcPr>
            <w:tcW w:w="3253" w:type="dxa"/>
            <w:vAlign w:val="center"/>
          </w:tcPr>
          <w:p w14:paraId="3E0C2F69" w14:textId="77777777" w:rsidR="00941823" w:rsidRPr="00032CF3" w:rsidRDefault="00941823" w:rsidP="00C929BD">
            <w:pPr>
              <w:rPr>
                <w:rFonts w:cs="Arial"/>
                <w:szCs w:val="24"/>
              </w:rPr>
            </w:pPr>
            <w:r w:rsidRPr="00032CF3">
              <w:rPr>
                <w:rFonts w:cs="Arial"/>
                <w:szCs w:val="24"/>
              </w:rPr>
              <w:t xml:space="preserve">Commissioning </w:t>
            </w:r>
          </w:p>
        </w:tc>
        <w:tc>
          <w:tcPr>
            <w:tcW w:w="6807" w:type="dxa"/>
          </w:tcPr>
          <w:p w14:paraId="748397AC" w14:textId="77777777" w:rsidR="00941823" w:rsidRPr="00032CF3" w:rsidRDefault="00941823" w:rsidP="00C929BD">
            <w:pPr>
              <w:rPr>
                <w:rFonts w:cs="Arial"/>
                <w:color w:val="FF0000"/>
                <w:szCs w:val="24"/>
              </w:rPr>
            </w:pPr>
            <w:r w:rsidRPr="00032CF3">
              <w:rPr>
                <w:rFonts w:cs="Arial"/>
                <w:szCs w:val="24"/>
              </w:rPr>
              <w:t>Commissioning is essentially buying care in line with available resources to ensure that services meet the needs of the population. The process of commissioning includes assessing the needs of the population, selecting service providers and ensuring that these services are safe, effective, people-centred and of high quality. Commissioners are responsible for commissioning services.</w:t>
            </w:r>
          </w:p>
        </w:tc>
      </w:tr>
      <w:tr w:rsidR="00941823" w:rsidRPr="00032CF3" w14:paraId="69759BF4" w14:textId="77777777" w:rsidTr="00C929BD">
        <w:tc>
          <w:tcPr>
            <w:tcW w:w="3253" w:type="dxa"/>
            <w:vAlign w:val="center"/>
          </w:tcPr>
          <w:p w14:paraId="0370BA12" w14:textId="77777777" w:rsidR="00941823" w:rsidRPr="00032CF3" w:rsidRDefault="00941823" w:rsidP="00C929BD">
            <w:pPr>
              <w:rPr>
                <w:rFonts w:cs="Arial"/>
                <w:szCs w:val="24"/>
              </w:rPr>
            </w:pPr>
            <w:r w:rsidRPr="00032CF3">
              <w:rPr>
                <w:rFonts w:cs="Arial"/>
                <w:szCs w:val="24"/>
              </w:rPr>
              <w:lastRenderedPageBreak/>
              <w:t>Commissioning Support Unit (CSU)</w:t>
            </w:r>
          </w:p>
        </w:tc>
        <w:tc>
          <w:tcPr>
            <w:tcW w:w="6807" w:type="dxa"/>
          </w:tcPr>
          <w:p w14:paraId="169EE9A2" w14:textId="77777777" w:rsidR="00941823" w:rsidRPr="00032CF3" w:rsidRDefault="00941823" w:rsidP="00C929BD">
            <w:pPr>
              <w:rPr>
                <w:rFonts w:cs="Arial"/>
                <w:color w:val="FF0000"/>
                <w:szCs w:val="24"/>
              </w:rPr>
            </w:pPr>
            <w:r w:rsidRPr="00032CF3">
              <w:rPr>
                <w:rFonts w:cs="Arial"/>
                <w:szCs w:val="24"/>
              </w:rPr>
              <w:t>Clinical Commissioning Support Units provide Clinical Commissioning Groups with external support, specialist skills and knowledge to support them in their role as commissioners.</w:t>
            </w:r>
          </w:p>
        </w:tc>
      </w:tr>
      <w:tr w:rsidR="00941823" w:rsidRPr="00032CF3" w14:paraId="77C4DF1D" w14:textId="77777777" w:rsidTr="00C929BD">
        <w:tc>
          <w:tcPr>
            <w:tcW w:w="3253" w:type="dxa"/>
            <w:vAlign w:val="center"/>
          </w:tcPr>
          <w:p w14:paraId="5FECD101" w14:textId="77777777" w:rsidR="00941823" w:rsidRPr="00032CF3" w:rsidRDefault="00941823" w:rsidP="00C929BD">
            <w:pPr>
              <w:rPr>
                <w:rFonts w:cs="Arial"/>
                <w:szCs w:val="24"/>
              </w:rPr>
            </w:pPr>
            <w:r w:rsidRPr="00032CF3">
              <w:rPr>
                <w:rFonts w:cs="Arial"/>
                <w:szCs w:val="24"/>
              </w:rPr>
              <w:t xml:space="preserve">Common law </w:t>
            </w:r>
          </w:p>
        </w:tc>
        <w:tc>
          <w:tcPr>
            <w:tcW w:w="6807" w:type="dxa"/>
          </w:tcPr>
          <w:p w14:paraId="1B1B0CC0" w14:textId="77777777" w:rsidR="00941823" w:rsidRPr="00032CF3" w:rsidRDefault="00941823" w:rsidP="00C929BD">
            <w:pPr>
              <w:rPr>
                <w:rFonts w:cs="Arial"/>
                <w:color w:val="FF0000"/>
                <w:szCs w:val="24"/>
              </w:rPr>
            </w:pPr>
            <w:r w:rsidRPr="00032CF3">
              <w:rPr>
                <w:rFonts w:cs="Arial"/>
                <w:szCs w:val="24"/>
              </w:rPr>
              <w:t>Laws that are based on court or tribunal decisions which govern future decisions on similar cases</w:t>
            </w:r>
          </w:p>
        </w:tc>
      </w:tr>
      <w:tr w:rsidR="00941823" w:rsidRPr="00032CF3" w14:paraId="1DC7D03E" w14:textId="77777777" w:rsidTr="00C929BD">
        <w:tc>
          <w:tcPr>
            <w:tcW w:w="3253" w:type="dxa"/>
            <w:vAlign w:val="center"/>
          </w:tcPr>
          <w:p w14:paraId="56B052AC" w14:textId="77777777" w:rsidR="00941823" w:rsidRPr="00032CF3" w:rsidRDefault="00941823" w:rsidP="00C929BD">
            <w:pPr>
              <w:rPr>
                <w:rFonts w:cs="Arial"/>
                <w:szCs w:val="24"/>
              </w:rPr>
            </w:pPr>
            <w:r w:rsidRPr="00032CF3">
              <w:rPr>
                <w:rFonts w:cs="Arial"/>
                <w:szCs w:val="24"/>
              </w:rPr>
              <w:t>Common law duty of confidentiality (CLDC)</w:t>
            </w:r>
          </w:p>
        </w:tc>
        <w:tc>
          <w:tcPr>
            <w:tcW w:w="6807" w:type="dxa"/>
          </w:tcPr>
          <w:p w14:paraId="45606321" w14:textId="77777777" w:rsidR="00941823" w:rsidRPr="00032CF3" w:rsidRDefault="00941823" w:rsidP="00C929BD">
            <w:pPr>
              <w:rPr>
                <w:rFonts w:cs="Arial"/>
                <w:bCs w:val="0"/>
                <w:szCs w:val="24"/>
              </w:rPr>
            </w:pPr>
            <w:r w:rsidRPr="00032CF3">
              <w:rPr>
                <w:rFonts w:cs="Arial"/>
                <w:color w:val="3D4346"/>
                <w:szCs w:val="24"/>
                <w:shd w:val="clear" w:color="auto" w:fill="FFFFFF"/>
              </w:rPr>
              <w:t xml:space="preserve">Under the common law duty of confidentiality, if information is given in circumstances where it is expected that a duty of confidence applies, that information cannot normally be disclosed without patient consent. </w:t>
            </w:r>
          </w:p>
        </w:tc>
      </w:tr>
      <w:tr w:rsidR="00941823" w:rsidRPr="00032CF3" w14:paraId="1A47AA99" w14:textId="77777777" w:rsidTr="00C929BD">
        <w:tc>
          <w:tcPr>
            <w:tcW w:w="3253" w:type="dxa"/>
            <w:vAlign w:val="center"/>
          </w:tcPr>
          <w:p w14:paraId="158C998B" w14:textId="77777777" w:rsidR="00941823" w:rsidRPr="00032CF3" w:rsidRDefault="00941823" w:rsidP="00C929BD">
            <w:pPr>
              <w:rPr>
                <w:rFonts w:cs="Arial"/>
                <w:szCs w:val="24"/>
              </w:rPr>
            </w:pPr>
            <w:r w:rsidRPr="00032CF3">
              <w:rPr>
                <w:rFonts w:cs="Arial"/>
                <w:szCs w:val="24"/>
              </w:rPr>
              <w:t xml:space="preserve">Confidential Patient Information </w:t>
            </w:r>
          </w:p>
        </w:tc>
        <w:tc>
          <w:tcPr>
            <w:tcW w:w="6807" w:type="dxa"/>
          </w:tcPr>
          <w:p w14:paraId="4DEB13C1" w14:textId="77777777" w:rsidR="00941823" w:rsidRPr="00032CF3" w:rsidRDefault="00941823" w:rsidP="00C929BD">
            <w:pPr>
              <w:rPr>
                <w:rFonts w:cs="Arial"/>
                <w:szCs w:val="24"/>
                <w:lang w:val="en-US"/>
              </w:rPr>
            </w:pPr>
            <w:r w:rsidRPr="00032CF3">
              <w:rPr>
                <w:rFonts w:cs="Arial"/>
                <w:szCs w:val="24"/>
              </w:rPr>
              <w:t xml:space="preserve">Defined in section 251 of the National Health Service Act 2006, confidential patient information is </w:t>
            </w:r>
            <w:r w:rsidRPr="00032CF3">
              <w:rPr>
                <w:rFonts w:cs="Arial"/>
                <w:szCs w:val="24"/>
                <w:lang w:val="en-US"/>
              </w:rPr>
              <w:t xml:space="preserve">information that meets the following three requirements: </w:t>
            </w:r>
          </w:p>
          <w:p w14:paraId="4E61BE09" w14:textId="77777777" w:rsidR="00941823" w:rsidRPr="00032CF3" w:rsidRDefault="00941823" w:rsidP="00C929BD">
            <w:pPr>
              <w:rPr>
                <w:rFonts w:cs="Arial"/>
                <w:szCs w:val="24"/>
                <w:lang w:val="en-US"/>
              </w:rPr>
            </w:pPr>
            <w:r w:rsidRPr="00032CF3">
              <w:rPr>
                <w:rFonts w:cs="Arial"/>
                <w:szCs w:val="24"/>
                <w:lang w:val="en-US"/>
              </w:rPr>
              <w:t xml:space="preserve">1. Identifiable, or likely identifiable (e.g. from other data in possession of the recipient), </w:t>
            </w:r>
          </w:p>
          <w:p w14:paraId="16C440D4" w14:textId="77777777" w:rsidR="00941823" w:rsidRPr="00032CF3" w:rsidRDefault="00941823" w:rsidP="00C929BD">
            <w:pPr>
              <w:rPr>
                <w:rFonts w:cs="Arial"/>
                <w:szCs w:val="24"/>
                <w:lang w:val="en-US"/>
              </w:rPr>
            </w:pPr>
            <w:r w:rsidRPr="00032CF3">
              <w:rPr>
                <w:rFonts w:cs="Arial"/>
                <w:szCs w:val="24"/>
                <w:lang w:val="en-US"/>
              </w:rPr>
              <w:t xml:space="preserve">2. Given in circumstances where the individual is owed a duty of confidence; and </w:t>
            </w:r>
          </w:p>
          <w:p w14:paraId="01F7CB87" w14:textId="77777777" w:rsidR="00941823" w:rsidRPr="00032CF3" w:rsidRDefault="00941823" w:rsidP="00C929BD">
            <w:pPr>
              <w:rPr>
                <w:rFonts w:cs="Arial"/>
                <w:color w:val="FF0000"/>
                <w:szCs w:val="24"/>
              </w:rPr>
            </w:pPr>
            <w:r w:rsidRPr="00032CF3">
              <w:rPr>
                <w:rFonts w:cs="Arial"/>
                <w:szCs w:val="24"/>
                <w:lang w:val="en-US"/>
              </w:rPr>
              <w:t>3. Conveys some information about the physical or mental health or condition of an individual</w:t>
            </w:r>
          </w:p>
        </w:tc>
      </w:tr>
      <w:tr w:rsidR="00941823" w:rsidRPr="00032CF3" w14:paraId="1C94C797" w14:textId="77777777" w:rsidTr="00C929BD">
        <w:tc>
          <w:tcPr>
            <w:tcW w:w="3253" w:type="dxa"/>
            <w:vAlign w:val="center"/>
          </w:tcPr>
          <w:p w14:paraId="4A687E09" w14:textId="77777777" w:rsidR="00941823" w:rsidRPr="00032CF3" w:rsidRDefault="00941823" w:rsidP="00C929BD">
            <w:pPr>
              <w:rPr>
                <w:rFonts w:cs="Arial"/>
                <w:szCs w:val="24"/>
              </w:rPr>
            </w:pPr>
            <w:r w:rsidRPr="00032CF3">
              <w:rPr>
                <w:rFonts w:cs="Arial"/>
                <w:szCs w:val="24"/>
              </w:rPr>
              <w:t>Consent</w:t>
            </w:r>
          </w:p>
        </w:tc>
        <w:tc>
          <w:tcPr>
            <w:tcW w:w="6807" w:type="dxa"/>
          </w:tcPr>
          <w:p w14:paraId="25B7F092" w14:textId="77777777" w:rsidR="00941823" w:rsidRPr="00032CF3" w:rsidRDefault="00941823" w:rsidP="00C929BD">
            <w:pPr>
              <w:rPr>
                <w:rFonts w:cs="Arial"/>
                <w:szCs w:val="24"/>
              </w:rPr>
            </w:pPr>
            <w:r w:rsidRPr="00032CF3">
              <w:rPr>
                <w:rFonts w:cs="Arial"/>
                <w:szCs w:val="24"/>
              </w:rPr>
              <w:t xml:space="preserve">Consent means offering individuals real choice and control.  It requires a positive opt-in and must be evidential.  The GDPR sets a high standard for consent. Often consent is not required under GPDR and another lawful basis can be found however consent may still be required under common law.    </w:t>
            </w:r>
          </w:p>
        </w:tc>
      </w:tr>
      <w:tr w:rsidR="00941823" w:rsidRPr="00032CF3" w14:paraId="4EA10A7E" w14:textId="77777777" w:rsidTr="00C929BD">
        <w:tc>
          <w:tcPr>
            <w:tcW w:w="3253" w:type="dxa"/>
            <w:vAlign w:val="center"/>
          </w:tcPr>
          <w:p w14:paraId="12B9A853" w14:textId="77777777" w:rsidR="00941823" w:rsidRPr="00032CF3" w:rsidRDefault="00941823" w:rsidP="00C929BD">
            <w:pPr>
              <w:rPr>
                <w:rFonts w:cs="Arial"/>
                <w:szCs w:val="24"/>
              </w:rPr>
            </w:pPr>
            <w:r w:rsidRPr="00032CF3">
              <w:rPr>
                <w:rFonts w:cs="Arial"/>
                <w:szCs w:val="24"/>
              </w:rPr>
              <w:t>Controller</w:t>
            </w:r>
          </w:p>
        </w:tc>
        <w:tc>
          <w:tcPr>
            <w:tcW w:w="6807" w:type="dxa"/>
          </w:tcPr>
          <w:p w14:paraId="777B4207" w14:textId="77777777" w:rsidR="00941823" w:rsidRPr="00032CF3" w:rsidRDefault="00941823" w:rsidP="00C929BD">
            <w:pPr>
              <w:rPr>
                <w:rFonts w:cs="Arial"/>
                <w:color w:val="FF0000"/>
                <w:szCs w:val="24"/>
              </w:rPr>
            </w:pPr>
            <w:r w:rsidRPr="00032CF3">
              <w:rPr>
                <w:rFonts w:cs="Arial"/>
                <w:szCs w:val="24"/>
              </w:rPr>
              <w:t>The natural or legal person, public authority, agency or other body which, alone or jointly with others, determines the purposes and means of the processing of personal data</w:t>
            </w:r>
          </w:p>
        </w:tc>
      </w:tr>
      <w:tr w:rsidR="00941823" w:rsidRPr="00032CF3" w14:paraId="4332A95C" w14:textId="77777777" w:rsidTr="00C929BD">
        <w:tc>
          <w:tcPr>
            <w:tcW w:w="3253" w:type="dxa"/>
            <w:vAlign w:val="center"/>
          </w:tcPr>
          <w:p w14:paraId="131C58AC" w14:textId="77777777" w:rsidR="00941823" w:rsidRPr="00032CF3" w:rsidRDefault="00941823" w:rsidP="00C929BD">
            <w:pPr>
              <w:rPr>
                <w:rFonts w:cs="Arial"/>
                <w:szCs w:val="24"/>
              </w:rPr>
            </w:pPr>
            <w:r w:rsidRPr="00032CF3">
              <w:rPr>
                <w:rFonts w:cs="Arial"/>
                <w:szCs w:val="24"/>
              </w:rPr>
              <w:t>Cyber threat</w:t>
            </w:r>
          </w:p>
        </w:tc>
        <w:tc>
          <w:tcPr>
            <w:tcW w:w="6807" w:type="dxa"/>
          </w:tcPr>
          <w:p w14:paraId="41826A3E" w14:textId="77777777" w:rsidR="00941823" w:rsidRPr="00032CF3" w:rsidRDefault="00941823" w:rsidP="00C929BD">
            <w:pPr>
              <w:rPr>
                <w:rFonts w:cs="Arial"/>
                <w:szCs w:val="24"/>
              </w:rPr>
            </w:pPr>
            <w:r w:rsidRPr="00032CF3">
              <w:rPr>
                <w:rFonts w:cs="Arial"/>
                <w:szCs w:val="24"/>
              </w:rPr>
              <w:t>The possibility of a malicious attempt to damage or disrupt a computer network or system</w:t>
            </w:r>
          </w:p>
        </w:tc>
      </w:tr>
      <w:tr w:rsidR="00941823" w:rsidRPr="00032CF3" w14:paraId="36B6AB87" w14:textId="77777777" w:rsidTr="00C929BD">
        <w:tc>
          <w:tcPr>
            <w:tcW w:w="3253" w:type="dxa"/>
            <w:vAlign w:val="center"/>
          </w:tcPr>
          <w:p w14:paraId="09980A4A" w14:textId="77777777" w:rsidR="00941823" w:rsidRPr="00032CF3" w:rsidRDefault="00941823" w:rsidP="00C929BD">
            <w:pPr>
              <w:rPr>
                <w:rFonts w:cs="Arial"/>
                <w:szCs w:val="24"/>
              </w:rPr>
            </w:pPr>
            <w:r w:rsidRPr="00032CF3">
              <w:rPr>
                <w:rFonts w:cs="Arial"/>
                <w:szCs w:val="24"/>
              </w:rPr>
              <w:t>Data breach notification</w:t>
            </w:r>
          </w:p>
        </w:tc>
        <w:tc>
          <w:tcPr>
            <w:tcW w:w="6807" w:type="dxa"/>
          </w:tcPr>
          <w:p w14:paraId="28CF6086" w14:textId="77777777" w:rsidR="00941823" w:rsidRPr="00032CF3" w:rsidRDefault="00941823" w:rsidP="00C929BD">
            <w:pPr>
              <w:rPr>
                <w:rFonts w:cs="Arial"/>
                <w:szCs w:val="24"/>
              </w:rPr>
            </w:pPr>
            <w:r w:rsidRPr="00032CF3">
              <w:rPr>
                <w:rFonts w:cs="Arial"/>
                <w:szCs w:val="24"/>
              </w:rPr>
              <w:t xml:space="preserve">A duty on all organisations to report certain types of personal data breach to the relevant supervisory authority.  The supervisory authority in the UK is the Information Commissioner's Office. </w:t>
            </w:r>
          </w:p>
        </w:tc>
      </w:tr>
      <w:tr w:rsidR="00941823" w:rsidRPr="00032CF3" w14:paraId="287FDD82" w14:textId="77777777" w:rsidTr="00C929BD">
        <w:tc>
          <w:tcPr>
            <w:tcW w:w="3253" w:type="dxa"/>
            <w:vAlign w:val="center"/>
          </w:tcPr>
          <w:p w14:paraId="18DF3263" w14:textId="77777777" w:rsidR="00941823" w:rsidRPr="00032CF3" w:rsidRDefault="00941823" w:rsidP="00C929BD">
            <w:pPr>
              <w:rPr>
                <w:rFonts w:cs="Arial"/>
                <w:szCs w:val="24"/>
              </w:rPr>
            </w:pPr>
            <w:r w:rsidRPr="00032CF3">
              <w:rPr>
                <w:rFonts w:cs="Arial"/>
                <w:szCs w:val="24"/>
              </w:rPr>
              <w:t>Data Protection Act 2018 (DPA)</w:t>
            </w:r>
          </w:p>
        </w:tc>
        <w:tc>
          <w:tcPr>
            <w:tcW w:w="6807" w:type="dxa"/>
          </w:tcPr>
          <w:p w14:paraId="459CB95C" w14:textId="77777777" w:rsidR="00941823" w:rsidRPr="00032CF3" w:rsidRDefault="00941823" w:rsidP="00C929BD">
            <w:pPr>
              <w:rPr>
                <w:rFonts w:cs="Arial"/>
                <w:szCs w:val="24"/>
              </w:rPr>
            </w:pPr>
            <w:r w:rsidRPr="00032CF3">
              <w:rPr>
                <w:rFonts w:cs="Arial"/>
                <w:szCs w:val="24"/>
              </w:rPr>
              <w:t>The Data Protection Act 2018 is the UK’s implementation of the General Data Protection Regulation (GDPR).  It transposes the Law enforcement directive into UK law.</w:t>
            </w:r>
          </w:p>
        </w:tc>
      </w:tr>
      <w:tr w:rsidR="00941823" w:rsidRPr="00032CF3" w14:paraId="4BB7BB1A" w14:textId="77777777" w:rsidTr="00C929BD">
        <w:tc>
          <w:tcPr>
            <w:tcW w:w="3253" w:type="dxa"/>
            <w:vAlign w:val="center"/>
          </w:tcPr>
          <w:p w14:paraId="4C618AF5" w14:textId="77777777" w:rsidR="00941823" w:rsidRPr="00032CF3" w:rsidRDefault="00941823" w:rsidP="00C929BD">
            <w:pPr>
              <w:rPr>
                <w:rFonts w:cs="Arial"/>
                <w:szCs w:val="24"/>
              </w:rPr>
            </w:pPr>
            <w:r w:rsidRPr="00032CF3">
              <w:rPr>
                <w:rFonts w:cs="Arial"/>
                <w:szCs w:val="24"/>
              </w:rPr>
              <w:t>Data Protection Impact Assessment (DPIA)</w:t>
            </w:r>
          </w:p>
        </w:tc>
        <w:tc>
          <w:tcPr>
            <w:tcW w:w="6807" w:type="dxa"/>
          </w:tcPr>
          <w:p w14:paraId="551CC4D3" w14:textId="77777777" w:rsidR="00941823" w:rsidRPr="00032CF3" w:rsidRDefault="00941823" w:rsidP="00C929BD">
            <w:pPr>
              <w:rPr>
                <w:rFonts w:cs="Arial"/>
                <w:szCs w:val="24"/>
              </w:rPr>
            </w:pPr>
            <w:r w:rsidRPr="00032CF3">
              <w:rPr>
                <w:rFonts w:cs="Arial"/>
                <w:szCs w:val="24"/>
              </w:rPr>
              <w:t xml:space="preserve">A Data Protection Impact Assessment (DPIA) is a process to help identify and minimise the data protection risks of a project.  Under GPDR a DPIA is required for processing that is likely to result in a high risk to individuals. </w:t>
            </w:r>
          </w:p>
        </w:tc>
      </w:tr>
      <w:tr w:rsidR="00941823" w:rsidRPr="00032CF3" w14:paraId="66812199" w14:textId="77777777" w:rsidTr="00C929BD">
        <w:tc>
          <w:tcPr>
            <w:tcW w:w="3253" w:type="dxa"/>
            <w:vAlign w:val="center"/>
          </w:tcPr>
          <w:p w14:paraId="6291B63A" w14:textId="77777777" w:rsidR="00941823" w:rsidRPr="00032CF3" w:rsidRDefault="00941823" w:rsidP="00C929BD">
            <w:pPr>
              <w:rPr>
                <w:rFonts w:cs="Arial"/>
                <w:szCs w:val="24"/>
              </w:rPr>
            </w:pPr>
            <w:r w:rsidRPr="00032CF3">
              <w:rPr>
                <w:rFonts w:cs="Arial"/>
                <w:szCs w:val="24"/>
              </w:rPr>
              <w:t>Data Protection Officer (DPO)</w:t>
            </w:r>
          </w:p>
        </w:tc>
        <w:tc>
          <w:tcPr>
            <w:tcW w:w="6807" w:type="dxa"/>
          </w:tcPr>
          <w:p w14:paraId="0B08AA7D" w14:textId="77777777" w:rsidR="00941823" w:rsidRPr="00032CF3" w:rsidRDefault="00941823" w:rsidP="00C929BD">
            <w:pPr>
              <w:rPr>
                <w:rFonts w:cs="Arial"/>
                <w:szCs w:val="24"/>
              </w:rPr>
            </w:pPr>
            <w:r w:rsidRPr="00032CF3">
              <w:rPr>
                <w:rFonts w:cs="Arial"/>
                <w:szCs w:val="24"/>
              </w:rPr>
              <w:t xml:space="preserve">An independent expert in data protection who helps monitor internal compliance, informs and advises on data obligations including Data Protection Impact Assessments and acts as a </w:t>
            </w:r>
            <w:r w:rsidRPr="00032CF3">
              <w:rPr>
                <w:rFonts w:cs="Arial"/>
                <w:szCs w:val="24"/>
              </w:rPr>
              <w:lastRenderedPageBreak/>
              <w:t>point of contact for data subjects and the Information Commissioner's Office.</w:t>
            </w:r>
          </w:p>
        </w:tc>
      </w:tr>
      <w:tr w:rsidR="00941823" w:rsidRPr="00032CF3" w14:paraId="132D9EAD" w14:textId="77777777" w:rsidTr="00C929BD">
        <w:tc>
          <w:tcPr>
            <w:tcW w:w="3253" w:type="dxa"/>
            <w:vAlign w:val="center"/>
          </w:tcPr>
          <w:p w14:paraId="02F2E086" w14:textId="77777777" w:rsidR="00941823" w:rsidRPr="00032CF3" w:rsidRDefault="00941823" w:rsidP="00C929BD">
            <w:pPr>
              <w:rPr>
                <w:rFonts w:cs="Arial"/>
                <w:szCs w:val="24"/>
              </w:rPr>
            </w:pPr>
            <w:r w:rsidRPr="00032CF3">
              <w:rPr>
                <w:rFonts w:cs="Arial"/>
                <w:szCs w:val="24"/>
              </w:rPr>
              <w:lastRenderedPageBreak/>
              <w:t>Data Security</w:t>
            </w:r>
          </w:p>
        </w:tc>
        <w:tc>
          <w:tcPr>
            <w:tcW w:w="6807" w:type="dxa"/>
          </w:tcPr>
          <w:p w14:paraId="3A9C2469" w14:textId="77777777" w:rsidR="00941823" w:rsidRPr="00032CF3" w:rsidRDefault="00941823" w:rsidP="00C929BD">
            <w:pPr>
              <w:rPr>
                <w:rFonts w:cs="Arial"/>
                <w:szCs w:val="24"/>
              </w:rPr>
            </w:pPr>
            <w:r w:rsidRPr="00032CF3">
              <w:rPr>
                <w:rFonts w:cs="Arial"/>
                <w:szCs w:val="24"/>
              </w:rPr>
              <w:t>Protecting data and information systems from unauthorised access, use, disclosure, disruption, modification or destruction.</w:t>
            </w:r>
          </w:p>
        </w:tc>
      </w:tr>
      <w:tr w:rsidR="00941823" w:rsidRPr="00032CF3" w14:paraId="1A001B57" w14:textId="77777777" w:rsidTr="00C929BD">
        <w:tc>
          <w:tcPr>
            <w:tcW w:w="3253" w:type="dxa"/>
            <w:vAlign w:val="center"/>
          </w:tcPr>
          <w:p w14:paraId="582D04C0" w14:textId="77777777" w:rsidR="00941823" w:rsidRPr="00032CF3" w:rsidRDefault="00941823" w:rsidP="00C929BD">
            <w:pPr>
              <w:rPr>
                <w:rFonts w:cs="Arial"/>
                <w:szCs w:val="24"/>
              </w:rPr>
            </w:pPr>
            <w:r w:rsidRPr="00032CF3">
              <w:rPr>
                <w:rFonts w:cs="Arial"/>
                <w:szCs w:val="24"/>
              </w:rPr>
              <w:t xml:space="preserve">Data Sharing Agreement </w:t>
            </w:r>
          </w:p>
        </w:tc>
        <w:tc>
          <w:tcPr>
            <w:tcW w:w="6807" w:type="dxa"/>
          </w:tcPr>
          <w:p w14:paraId="521C128A" w14:textId="77777777" w:rsidR="00941823" w:rsidRPr="00032CF3" w:rsidRDefault="00941823" w:rsidP="00C929BD">
            <w:pPr>
              <w:rPr>
                <w:rFonts w:cs="Arial"/>
                <w:szCs w:val="24"/>
              </w:rPr>
            </w:pPr>
            <w:r w:rsidRPr="00032CF3">
              <w:rPr>
                <w:rFonts w:cs="Arial"/>
                <w:szCs w:val="24"/>
              </w:rPr>
              <w:t xml:space="preserve">A data sharing agreement sets out a common set of rules to be adopted by the various organisations involved in a data sharing operation. These could well form part of a contract between organisations. It is good practice to have a data sharing agreement in place, and to review it regularly, particularly where information is to be shared on a large scale, or on a regular basis. </w:t>
            </w:r>
          </w:p>
        </w:tc>
      </w:tr>
      <w:tr w:rsidR="00941823" w:rsidRPr="00032CF3" w14:paraId="7EB646CE" w14:textId="77777777" w:rsidTr="00C929BD">
        <w:tc>
          <w:tcPr>
            <w:tcW w:w="3253" w:type="dxa"/>
            <w:vAlign w:val="center"/>
          </w:tcPr>
          <w:p w14:paraId="11259EF7" w14:textId="77777777" w:rsidR="00941823" w:rsidRPr="00032CF3" w:rsidRDefault="00941823" w:rsidP="00C929BD">
            <w:pPr>
              <w:rPr>
                <w:rFonts w:cs="Arial"/>
                <w:szCs w:val="24"/>
              </w:rPr>
            </w:pPr>
            <w:r w:rsidRPr="00032CF3">
              <w:rPr>
                <w:rFonts w:cs="Arial"/>
                <w:szCs w:val="24"/>
              </w:rPr>
              <w:t>Data Subject</w:t>
            </w:r>
          </w:p>
        </w:tc>
        <w:tc>
          <w:tcPr>
            <w:tcW w:w="6807" w:type="dxa"/>
          </w:tcPr>
          <w:p w14:paraId="6B5032B5" w14:textId="77777777" w:rsidR="00941823" w:rsidRPr="00032CF3" w:rsidRDefault="00941823" w:rsidP="00C929BD">
            <w:pPr>
              <w:rPr>
                <w:rFonts w:cs="Arial"/>
                <w:szCs w:val="24"/>
              </w:rPr>
            </w:pPr>
            <w:r w:rsidRPr="00032CF3">
              <w:rPr>
                <w:rFonts w:cs="Arial"/>
                <w:szCs w:val="24"/>
              </w:rPr>
              <w:t xml:space="preserve">An identified or identifiable natural person.  </w:t>
            </w:r>
          </w:p>
        </w:tc>
      </w:tr>
      <w:tr w:rsidR="00941823" w:rsidRPr="00032CF3" w14:paraId="6D9FE51B" w14:textId="77777777" w:rsidTr="00C929BD">
        <w:tc>
          <w:tcPr>
            <w:tcW w:w="3253" w:type="dxa"/>
            <w:vAlign w:val="center"/>
          </w:tcPr>
          <w:p w14:paraId="31C7532F" w14:textId="77777777" w:rsidR="00941823" w:rsidRPr="00032CF3" w:rsidRDefault="00941823" w:rsidP="00C929BD">
            <w:pPr>
              <w:rPr>
                <w:rFonts w:cs="Arial"/>
                <w:szCs w:val="24"/>
              </w:rPr>
            </w:pPr>
            <w:r w:rsidRPr="00032CF3">
              <w:rPr>
                <w:rFonts w:cs="Arial"/>
                <w:szCs w:val="24"/>
              </w:rPr>
              <w:t>Duty of confidentiality</w:t>
            </w:r>
          </w:p>
        </w:tc>
        <w:tc>
          <w:tcPr>
            <w:tcW w:w="6807" w:type="dxa"/>
          </w:tcPr>
          <w:p w14:paraId="46CEFFC6" w14:textId="77777777" w:rsidR="00941823" w:rsidRPr="00032CF3" w:rsidRDefault="00941823" w:rsidP="00C929BD">
            <w:pPr>
              <w:rPr>
                <w:rFonts w:cs="Arial"/>
                <w:szCs w:val="24"/>
              </w:rPr>
            </w:pPr>
            <w:r w:rsidRPr="00032CF3">
              <w:rPr>
                <w:rFonts w:cs="Arial"/>
                <w:szCs w:val="24"/>
              </w:rPr>
              <w:t>This arises</w:t>
            </w:r>
            <w:r w:rsidRPr="00032CF3">
              <w:rPr>
                <w:rFonts w:cs="Arial"/>
                <w:b/>
                <w:szCs w:val="24"/>
              </w:rPr>
              <w:t xml:space="preserve"> </w:t>
            </w:r>
            <w:r w:rsidRPr="00032CF3">
              <w:rPr>
                <w:rFonts w:cs="Arial"/>
                <w:szCs w:val="24"/>
              </w:rPr>
              <w:t>when one person discloses information to another (e.g. patient to clinician) in circumstances where it is reasonable to expect that the information will be held in confidence. It –</w:t>
            </w:r>
          </w:p>
          <w:p w14:paraId="0E3736A2" w14:textId="77777777" w:rsidR="00941823" w:rsidRPr="00032CF3" w:rsidRDefault="00941823" w:rsidP="00962AE5">
            <w:pPr>
              <w:numPr>
                <w:ilvl w:val="0"/>
                <w:numId w:val="24"/>
              </w:numPr>
              <w:spacing w:before="0" w:after="0"/>
              <w:rPr>
                <w:rFonts w:cs="Arial"/>
                <w:szCs w:val="24"/>
              </w:rPr>
            </w:pPr>
            <w:r w:rsidRPr="00032CF3">
              <w:rPr>
                <w:rFonts w:cs="Arial"/>
                <w:szCs w:val="24"/>
              </w:rPr>
              <w:t>is a legal obligation that is derived from </w:t>
            </w:r>
            <w:hyperlink r:id="rId29" w:anchor="commonlaw" w:history="1">
              <w:r w:rsidRPr="005A3136">
                <w:rPr>
                  <w:rStyle w:val="Hyperlink"/>
                  <w:rFonts w:cs="Arial"/>
                  <w:color w:val="000000" w:themeColor="text1"/>
                  <w:szCs w:val="24"/>
                </w:rPr>
                <w:t>common law</w:t>
              </w:r>
            </w:hyperlink>
            <w:r w:rsidRPr="005A3136">
              <w:rPr>
                <w:rFonts w:cs="Arial"/>
                <w:color w:val="000000" w:themeColor="text1"/>
                <w:szCs w:val="24"/>
                <w:u w:val="single"/>
              </w:rPr>
              <w:t>;</w:t>
            </w:r>
          </w:p>
          <w:p w14:paraId="7737A74F" w14:textId="77777777" w:rsidR="00941823" w:rsidRPr="00032CF3" w:rsidRDefault="00941823" w:rsidP="00962AE5">
            <w:pPr>
              <w:numPr>
                <w:ilvl w:val="0"/>
                <w:numId w:val="24"/>
              </w:numPr>
              <w:spacing w:before="0" w:after="0"/>
              <w:rPr>
                <w:rFonts w:cs="Arial"/>
                <w:szCs w:val="24"/>
              </w:rPr>
            </w:pPr>
            <w:r w:rsidRPr="00032CF3">
              <w:rPr>
                <w:rFonts w:cs="Arial"/>
                <w:szCs w:val="24"/>
              </w:rPr>
              <w:t>is a requirement established either within professional codes of conduct and/or that must be included within relevant employment contracts. It is also linked to disciplinary procedures through both these requirements.</w:t>
            </w:r>
          </w:p>
          <w:p w14:paraId="2D1A8653" w14:textId="77777777" w:rsidR="00941823" w:rsidRPr="00032CF3" w:rsidRDefault="00941823" w:rsidP="00C929BD">
            <w:pPr>
              <w:rPr>
                <w:rFonts w:cs="Arial"/>
                <w:szCs w:val="24"/>
              </w:rPr>
            </w:pPr>
            <w:r w:rsidRPr="00032CF3">
              <w:rPr>
                <w:rFonts w:cs="Arial"/>
                <w:szCs w:val="24"/>
              </w:rPr>
              <w:t xml:space="preserve">It would also apply where confidential patient information is received or obtained from another organisation as the data subject would have a reasonable expectation that any recipient would hold it in confidence. </w:t>
            </w:r>
          </w:p>
        </w:tc>
      </w:tr>
      <w:tr w:rsidR="00941823" w:rsidRPr="00032CF3" w14:paraId="21ADCA03" w14:textId="77777777" w:rsidTr="00C929BD">
        <w:tc>
          <w:tcPr>
            <w:tcW w:w="3253" w:type="dxa"/>
            <w:vAlign w:val="center"/>
          </w:tcPr>
          <w:p w14:paraId="2A253D89" w14:textId="77777777" w:rsidR="00941823" w:rsidRPr="00032CF3" w:rsidRDefault="00941823" w:rsidP="00C929BD">
            <w:pPr>
              <w:rPr>
                <w:rFonts w:cs="Arial"/>
                <w:szCs w:val="24"/>
              </w:rPr>
            </w:pPr>
            <w:r w:rsidRPr="00032CF3">
              <w:rPr>
                <w:rFonts w:cs="Arial"/>
                <w:szCs w:val="24"/>
              </w:rPr>
              <w:t xml:space="preserve">Duty of Transparency </w:t>
            </w:r>
          </w:p>
        </w:tc>
        <w:tc>
          <w:tcPr>
            <w:tcW w:w="6807" w:type="dxa"/>
          </w:tcPr>
          <w:p w14:paraId="71B68D01" w14:textId="77777777" w:rsidR="00941823" w:rsidRPr="00032CF3" w:rsidRDefault="00941823" w:rsidP="00C929BD">
            <w:pPr>
              <w:rPr>
                <w:rFonts w:cs="Arial"/>
                <w:szCs w:val="24"/>
                <w:lang w:val="en-US"/>
              </w:rPr>
            </w:pPr>
            <w:r w:rsidRPr="00032CF3">
              <w:rPr>
                <w:rFonts w:cs="Arial"/>
                <w:szCs w:val="24"/>
                <w:lang w:val="en-US"/>
              </w:rPr>
              <w:t xml:space="preserve">The GDPR principle of ‘accountability’ requires that organisations must be able to demonstrate compliance. Part of this involves transparency and the provision of information to subjects – previously referred to as fair processing. </w:t>
            </w:r>
          </w:p>
          <w:p w14:paraId="034C5036" w14:textId="77777777" w:rsidR="00941823" w:rsidRPr="00032CF3" w:rsidRDefault="00941823" w:rsidP="00C929BD">
            <w:pPr>
              <w:rPr>
                <w:rFonts w:cs="Arial"/>
                <w:szCs w:val="24"/>
              </w:rPr>
            </w:pPr>
            <w:r w:rsidRPr="00032CF3">
              <w:rPr>
                <w:rFonts w:cs="Arial"/>
                <w:szCs w:val="24"/>
                <w:lang w:val="en-US"/>
              </w:rPr>
              <w:t xml:space="preserve">A specific requirement of the GDPR is that organisations must include their lawful basis for processing information provided to patients, service users and staff </w:t>
            </w:r>
          </w:p>
        </w:tc>
      </w:tr>
      <w:tr w:rsidR="00941823" w:rsidRPr="00032CF3" w14:paraId="1A004D23" w14:textId="77777777" w:rsidTr="00C929BD">
        <w:tc>
          <w:tcPr>
            <w:tcW w:w="3253" w:type="dxa"/>
            <w:vAlign w:val="center"/>
          </w:tcPr>
          <w:p w14:paraId="232B96E2" w14:textId="77777777" w:rsidR="00941823" w:rsidRPr="00032CF3" w:rsidRDefault="00941823" w:rsidP="00C929BD">
            <w:pPr>
              <w:rPr>
                <w:rFonts w:cs="Arial"/>
                <w:szCs w:val="24"/>
              </w:rPr>
            </w:pPr>
            <w:r w:rsidRPr="00032CF3">
              <w:rPr>
                <w:rFonts w:cs="Arial"/>
                <w:szCs w:val="24"/>
              </w:rPr>
              <w:t>Explicit consent</w:t>
            </w:r>
          </w:p>
        </w:tc>
        <w:tc>
          <w:tcPr>
            <w:tcW w:w="6807" w:type="dxa"/>
          </w:tcPr>
          <w:p w14:paraId="5A4812A6" w14:textId="77777777" w:rsidR="00941823" w:rsidRPr="00032CF3" w:rsidRDefault="00941823" w:rsidP="00C929BD">
            <w:pPr>
              <w:rPr>
                <w:rFonts w:cs="Arial"/>
                <w:szCs w:val="24"/>
              </w:rPr>
            </w:pPr>
            <w:r w:rsidRPr="00032CF3">
              <w:rPr>
                <w:rFonts w:cs="Arial"/>
                <w:szCs w:val="24"/>
              </w:rPr>
              <w:t>Explicit consent requires a very clear and specific statement of consent.  It is unmistakeable. It can be given in writing or verbally, or conveyed through another form of communication such as signing.  GPDR gives a specific right to withdraw consent.</w:t>
            </w:r>
          </w:p>
        </w:tc>
      </w:tr>
      <w:tr w:rsidR="00941823" w:rsidRPr="00032CF3" w14:paraId="7FB010A7" w14:textId="77777777" w:rsidTr="00C929BD">
        <w:tc>
          <w:tcPr>
            <w:tcW w:w="3253" w:type="dxa"/>
            <w:vAlign w:val="center"/>
          </w:tcPr>
          <w:p w14:paraId="189C0199" w14:textId="77777777" w:rsidR="00941823" w:rsidRPr="00032CF3" w:rsidRDefault="00941823" w:rsidP="00C929BD">
            <w:pPr>
              <w:rPr>
                <w:rFonts w:cs="Arial"/>
                <w:szCs w:val="24"/>
              </w:rPr>
            </w:pPr>
            <w:r w:rsidRPr="00032CF3">
              <w:rPr>
                <w:rFonts w:cs="Arial"/>
                <w:szCs w:val="24"/>
              </w:rPr>
              <w:t>General Data Protection Regulation  (GDPR)</w:t>
            </w:r>
          </w:p>
        </w:tc>
        <w:tc>
          <w:tcPr>
            <w:tcW w:w="6807" w:type="dxa"/>
          </w:tcPr>
          <w:p w14:paraId="33F601CE" w14:textId="77777777" w:rsidR="00941823" w:rsidRPr="00032CF3" w:rsidRDefault="00941823" w:rsidP="00C929BD">
            <w:pPr>
              <w:rPr>
                <w:rFonts w:cs="Arial"/>
                <w:szCs w:val="24"/>
              </w:rPr>
            </w:pPr>
            <w:r w:rsidRPr="00032CF3">
              <w:rPr>
                <w:rFonts w:cs="Arial"/>
                <w:szCs w:val="24"/>
              </w:rPr>
              <w:t xml:space="preserve">The European Union regulation that came into force across 28 EU Member States, including the United Kingdom in May 2018.  It forms part of the data protection regime in the UK, together with the new Data Protection Act 2018  </w:t>
            </w:r>
          </w:p>
        </w:tc>
      </w:tr>
      <w:tr w:rsidR="00941823" w:rsidRPr="00032CF3" w14:paraId="022DB245" w14:textId="77777777" w:rsidTr="00C929BD">
        <w:tc>
          <w:tcPr>
            <w:tcW w:w="3253" w:type="dxa"/>
            <w:vAlign w:val="center"/>
          </w:tcPr>
          <w:p w14:paraId="207BC830" w14:textId="77777777" w:rsidR="00941823" w:rsidRPr="00032CF3" w:rsidRDefault="00941823" w:rsidP="00C929BD">
            <w:pPr>
              <w:rPr>
                <w:rFonts w:cs="Arial"/>
                <w:szCs w:val="24"/>
                <w:highlight w:val="yellow"/>
              </w:rPr>
            </w:pPr>
            <w:r w:rsidRPr="00032CF3">
              <w:rPr>
                <w:rFonts w:cs="Arial"/>
                <w:szCs w:val="24"/>
              </w:rPr>
              <w:t>Genetic data</w:t>
            </w:r>
          </w:p>
        </w:tc>
        <w:tc>
          <w:tcPr>
            <w:tcW w:w="6807" w:type="dxa"/>
          </w:tcPr>
          <w:p w14:paraId="47BB941B" w14:textId="77777777" w:rsidR="00941823" w:rsidRPr="00032CF3" w:rsidRDefault="00941823" w:rsidP="00C929BD">
            <w:pPr>
              <w:rPr>
                <w:rFonts w:cs="Arial"/>
                <w:szCs w:val="24"/>
              </w:rPr>
            </w:pPr>
            <w:r w:rsidRPr="00032CF3">
              <w:rPr>
                <w:rFonts w:cs="Arial"/>
                <w:szCs w:val="24"/>
              </w:rPr>
              <w:t xml:space="preserve">Personal data relating to the inherited or acquired genetic characteristics of a natural person which give unique </w:t>
            </w:r>
            <w:r w:rsidRPr="00032CF3">
              <w:rPr>
                <w:rFonts w:cs="Arial"/>
                <w:szCs w:val="24"/>
              </w:rPr>
              <w:lastRenderedPageBreak/>
              <w:t xml:space="preserve">information about physiology or the health of that natural person and which result, in particular, from an analysis of a biological sample from the natural person in question. </w:t>
            </w:r>
          </w:p>
        </w:tc>
      </w:tr>
      <w:tr w:rsidR="00941823" w:rsidRPr="00032CF3" w14:paraId="24B55A2A" w14:textId="77777777" w:rsidTr="00C929BD">
        <w:tc>
          <w:tcPr>
            <w:tcW w:w="3253" w:type="dxa"/>
            <w:vAlign w:val="center"/>
          </w:tcPr>
          <w:p w14:paraId="2E1CA81B" w14:textId="77777777" w:rsidR="00941823" w:rsidRPr="00032CF3" w:rsidRDefault="00941823" w:rsidP="00C929BD">
            <w:pPr>
              <w:rPr>
                <w:rFonts w:cs="Arial"/>
                <w:szCs w:val="24"/>
              </w:rPr>
            </w:pPr>
            <w:r w:rsidRPr="00032CF3">
              <w:rPr>
                <w:rFonts w:cs="Arial"/>
                <w:szCs w:val="24"/>
              </w:rPr>
              <w:lastRenderedPageBreak/>
              <w:t>Human Rights Act 1998</w:t>
            </w:r>
          </w:p>
        </w:tc>
        <w:tc>
          <w:tcPr>
            <w:tcW w:w="6807" w:type="dxa"/>
          </w:tcPr>
          <w:p w14:paraId="1C69DFA4" w14:textId="77777777" w:rsidR="00941823" w:rsidRPr="00032CF3" w:rsidRDefault="00941823" w:rsidP="00C929BD">
            <w:pPr>
              <w:rPr>
                <w:rFonts w:cs="Arial"/>
                <w:color w:val="FF0000"/>
                <w:szCs w:val="24"/>
              </w:rPr>
            </w:pPr>
            <w:r w:rsidRPr="00032CF3">
              <w:rPr>
                <w:rFonts w:cs="Arial"/>
                <w:szCs w:val="24"/>
              </w:rPr>
              <w:t>The Human Rights Act 1998 sets out the fundamental rights and freedoms that everyone in the UK is entitled to. It incorporates the rights set out in the European Convention on Human Rights (ECHR) into domestic British law.</w:t>
            </w:r>
          </w:p>
        </w:tc>
      </w:tr>
      <w:tr w:rsidR="00941823" w:rsidRPr="00032CF3" w14:paraId="32F64676" w14:textId="77777777" w:rsidTr="00C929BD">
        <w:tc>
          <w:tcPr>
            <w:tcW w:w="3253" w:type="dxa"/>
            <w:vAlign w:val="center"/>
          </w:tcPr>
          <w:p w14:paraId="5C50D0F4" w14:textId="77777777" w:rsidR="00941823" w:rsidRPr="00032CF3" w:rsidRDefault="00941823" w:rsidP="00C929BD">
            <w:pPr>
              <w:rPr>
                <w:rFonts w:cs="Arial"/>
                <w:szCs w:val="24"/>
              </w:rPr>
            </w:pPr>
            <w:r w:rsidRPr="00032CF3">
              <w:rPr>
                <w:rFonts w:cs="Arial"/>
                <w:szCs w:val="24"/>
              </w:rPr>
              <w:t>Implied consent</w:t>
            </w:r>
          </w:p>
        </w:tc>
        <w:tc>
          <w:tcPr>
            <w:tcW w:w="6807" w:type="dxa"/>
          </w:tcPr>
          <w:p w14:paraId="236CF65C" w14:textId="77777777" w:rsidR="00941823" w:rsidRPr="00032CF3" w:rsidRDefault="00941823" w:rsidP="00C929BD">
            <w:pPr>
              <w:rPr>
                <w:rFonts w:cs="Arial"/>
                <w:szCs w:val="24"/>
              </w:rPr>
            </w:pPr>
            <w:r w:rsidRPr="00032CF3">
              <w:rPr>
                <w:rFonts w:cs="Arial"/>
                <w:szCs w:val="24"/>
              </w:rPr>
              <w:t xml:space="preserve">Applicable only within the context of individual care of individuals.  Under the common law of confidentiality consent may be explicit or implied.  Implied consent refers to instances where the consent of the individual patient can be implied without having to make any positive action, such as giving their verbal agreement for a specific aspect of sharing information to proceed. </w:t>
            </w:r>
          </w:p>
          <w:p w14:paraId="2633F978" w14:textId="77777777" w:rsidR="00941823" w:rsidRPr="00032CF3" w:rsidRDefault="00941823" w:rsidP="00C929BD">
            <w:pPr>
              <w:rPr>
                <w:rFonts w:cs="Arial"/>
                <w:szCs w:val="24"/>
              </w:rPr>
            </w:pPr>
            <w:r w:rsidRPr="00032CF3">
              <w:rPr>
                <w:rFonts w:cs="Arial"/>
                <w:szCs w:val="24"/>
              </w:rPr>
              <w:t xml:space="preserve">Examples of the use of implied consent include doctors and nurses sharing personal confidential data during handovers without asking for the patient’s consent. Alternatively, a physiotherapist may access the record of a patient who has already accepted a referral before a face-to-face consultation on the basis of implied consent </w:t>
            </w:r>
          </w:p>
        </w:tc>
      </w:tr>
      <w:tr w:rsidR="00941823" w:rsidRPr="00032CF3" w14:paraId="616D25C3" w14:textId="77777777" w:rsidTr="00C929BD">
        <w:tc>
          <w:tcPr>
            <w:tcW w:w="3253" w:type="dxa"/>
            <w:vAlign w:val="center"/>
          </w:tcPr>
          <w:p w14:paraId="2CF9FCDA" w14:textId="77777777" w:rsidR="00941823" w:rsidRPr="00032CF3" w:rsidRDefault="00941823" w:rsidP="00C929BD">
            <w:pPr>
              <w:rPr>
                <w:rFonts w:cs="Arial"/>
                <w:szCs w:val="24"/>
              </w:rPr>
            </w:pPr>
            <w:r w:rsidRPr="00032CF3">
              <w:rPr>
                <w:rFonts w:cs="Arial"/>
                <w:szCs w:val="24"/>
              </w:rPr>
              <w:t>Individual care</w:t>
            </w:r>
          </w:p>
        </w:tc>
        <w:tc>
          <w:tcPr>
            <w:tcW w:w="6807" w:type="dxa"/>
          </w:tcPr>
          <w:p w14:paraId="0D6604D3" w14:textId="77777777" w:rsidR="00941823" w:rsidRPr="00032CF3" w:rsidRDefault="00941823" w:rsidP="00C929BD">
            <w:pPr>
              <w:rPr>
                <w:rFonts w:cs="Arial"/>
                <w:i/>
                <w:szCs w:val="24"/>
              </w:rPr>
            </w:pPr>
            <w:r w:rsidRPr="00032CF3">
              <w:rPr>
                <w:rFonts w:cs="Arial"/>
                <w:szCs w:val="24"/>
              </w:rPr>
              <w:t xml:space="preserve">Has the same meaning as </w:t>
            </w:r>
            <w:r w:rsidRPr="00032CF3">
              <w:rPr>
                <w:rFonts w:cs="Arial"/>
                <w:i/>
                <w:szCs w:val="24"/>
              </w:rPr>
              <w:t>Direct Care defined by the 2013 Information Governance Review:</w:t>
            </w:r>
          </w:p>
          <w:p w14:paraId="1DD3CD06" w14:textId="77777777" w:rsidR="00941823" w:rsidRPr="00032CF3" w:rsidRDefault="00941823" w:rsidP="00C929BD">
            <w:pPr>
              <w:rPr>
                <w:rFonts w:cs="Arial"/>
                <w:i/>
                <w:szCs w:val="24"/>
              </w:rPr>
            </w:pPr>
            <w:r w:rsidRPr="00032CF3">
              <w:rPr>
                <w:rFonts w:cs="Arial"/>
                <w:i/>
                <w:szCs w:val="24"/>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 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tc>
      </w:tr>
      <w:tr w:rsidR="00941823" w:rsidRPr="00032CF3" w14:paraId="7D5DBC95" w14:textId="77777777" w:rsidTr="00C929BD">
        <w:tc>
          <w:tcPr>
            <w:tcW w:w="3253" w:type="dxa"/>
            <w:vAlign w:val="center"/>
          </w:tcPr>
          <w:p w14:paraId="334E87BA" w14:textId="77777777" w:rsidR="00941823" w:rsidRPr="00032CF3" w:rsidRDefault="00941823" w:rsidP="00C929BD">
            <w:pPr>
              <w:rPr>
                <w:rFonts w:cs="Arial"/>
                <w:szCs w:val="24"/>
              </w:rPr>
            </w:pPr>
            <w:r w:rsidRPr="00032CF3">
              <w:rPr>
                <w:rFonts w:cs="Arial"/>
                <w:szCs w:val="24"/>
              </w:rPr>
              <w:t>Information asset register</w:t>
            </w:r>
          </w:p>
        </w:tc>
        <w:tc>
          <w:tcPr>
            <w:tcW w:w="6807" w:type="dxa"/>
          </w:tcPr>
          <w:p w14:paraId="66B9B4E6" w14:textId="77777777" w:rsidR="00941823" w:rsidRPr="00032CF3" w:rsidRDefault="00941823" w:rsidP="00C929BD">
            <w:pPr>
              <w:rPr>
                <w:rFonts w:cs="Arial"/>
                <w:szCs w:val="24"/>
              </w:rPr>
            </w:pPr>
            <w:r w:rsidRPr="00032CF3">
              <w:rPr>
                <w:rFonts w:cs="Arial"/>
                <w:szCs w:val="24"/>
              </w:rPr>
              <w:t xml:space="preserve">A register of what information you hold. It is a way of helping understand any risks so that an organisation can protect the information. </w:t>
            </w:r>
          </w:p>
        </w:tc>
      </w:tr>
      <w:tr w:rsidR="00941823" w:rsidRPr="00032CF3" w14:paraId="799B81C7" w14:textId="77777777" w:rsidTr="00C929BD">
        <w:tc>
          <w:tcPr>
            <w:tcW w:w="3253" w:type="dxa"/>
            <w:vAlign w:val="center"/>
          </w:tcPr>
          <w:p w14:paraId="1018A8F4" w14:textId="77777777" w:rsidR="00941823" w:rsidRPr="00032CF3" w:rsidRDefault="00941823" w:rsidP="00C929BD">
            <w:pPr>
              <w:rPr>
                <w:rFonts w:cs="Arial"/>
                <w:szCs w:val="24"/>
              </w:rPr>
            </w:pPr>
            <w:r w:rsidRPr="00032CF3">
              <w:rPr>
                <w:rFonts w:cs="Arial"/>
                <w:szCs w:val="24"/>
              </w:rPr>
              <w:t>Information Commissioner's Office (ICO)</w:t>
            </w:r>
          </w:p>
        </w:tc>
        <w:tc>
          <w:tcPr>
            <w:tcW w:w="6807" w:type="dxa"/>
          </w:tcPr>
          <w:p w14:paraId="1D163FD5" w14:textId="77777777" w:rsidR="00941823" w:rsidRPr="00032CF3" w:rsidRDefault="00941823" w:rsidP="00C929BD">
            <w:pPr>
              <w:rPr>
                <w:rFonts w:cs="Arial"/>
                <w:color w:val="FF0000"/>
                <w:szCs w:val="24"/>
              </w:rPr>
            </w:pPr>
            <w:r w:rsidRPr="00032CF3">
              <w:rPr>
                <w:rFonts w:cs="Arial"/>
                <w:szCs w:val="24"/>
              </w:rPr>
              <w:t xml:space="preserve">The UK’s independent authority set up to uphold information rights in the public interest, promoting openness by public bodies and data privacy for individuals. </w:t>
            </w:r>
          </w:p>
        </w:tc>
      </w:tr>
      <w:tr w:rsidR="00941823" w:rsidRPr="00032CF3" w14:paraId="7BE16C8B" w14:textId="77777777" w:rsidTr="00C929BD">
        <w:tc>
          <w:tcPr>
            <w:tcW w:w="3253" w:type="dxa"/>
            <w:vAlign w:val="center"/>
          </w:tcPr>
          <w:p w14:paraId="5DCEA05C" w14:textId="77777777" w:rsidR="00941823" w:rsidRPr="00032CF3" w:rsidRDefault="00941823" w:rsidP="00C929BD">
            <w:pPr>
              <w:rPr>
                <w:rFonts w:cs="Arial"/>
                <w:szCs w:val="24"/>
              </w:rPr>
            </w:pPr>
            <w:r w:rsidRPr="00032CF3">
              <w:rPr>
                <w:rFonts w:cs="Arial"/>
                <w:szCs w:val="24"/>
              </w:rPr>
              <w:t>Information Governance (IG)</w:t>
            </w:r>
          </w:p>
        </w:tc>
        <w:tc>
          <w:tcPr>
            <w:tcW w:w="6807" w:type="dxa"/>
          </w:tcPr>
          <w:p w14:paraId="5AEAC702" w14:textId="77777777" w:rsidR="00941823" w:rsidRPr="00032CF3" w:rsidRDefault="00941823" w:rsidP="00C929BD">
            <w:pPr>
              <w:rPr>
                <w:rFonts w:cs="Arial"/>
                <w:szCs w:val="24"/>
              </w:rPr>
            </w:pPr>
            <w:r w:rsidRPr="00032CF3">
              <w:rPr>
                <w:rFonts w:cs="Arial"/>
                <w:szCs w:val="24"/>
              </w:rPr>
              <w:t xml:space="preserve">The term used to describe how organisations and individuals manage and handle data within the health and social care system in England. In practical terms, Information Governance is about managing and sharing information appropriately. There is a body of legislation that protects personal information and any information shared inappropriately could mean a fine for the organisation or even prison for an individual. </w:t>
            </w:r>
          </w:p>
        </w:tc>
      </w:tr>
      <w:tr w:rsidR="00941823" w:rsidRPr="00032CF3" w14:paraId="6BDA9DB7" w14:textId="77777777" w:rsidTr="00C929BD">
        <w:tc>
          <w:tcPr>
            <w:tcW w:w="3253" w:type="dxa"/>
            <w:vAlign w:val="center"/>
          </w:tcPr>
          <w:p w14:paraId="120E0204" w14:textId="77777777" w:rsidR="00941823" w:rsidRPr="00032CF3" w:rsidRDefault="00941823" w:rsidP="00C929BD">
            <w:pPr>
              <w:rPr>
                <w:rFonts w:cs="Arial"/>
                <w:szCs w:val="24"/>
              </w:rPr>
            </w:pPr>
            <w:r w:rsidRPr="00032CF3">
              <w:rPr>
                <w:rFonts w:cs="Arial"/>
                <w:szCs w:val="24"/>
              </w:rPr>
              <w:lastRenderedPageBreak/>
              <w:t>Joint controllers/Joint Data Controllership</w:t>
            </w:r>
          </w:p>
        </w:tc>
        <w:tc>
          <w:tcPr>
            <w:tcW w:w="6807" w:type="dxa"/>
          </w:tcPr>
          <w:p w14:paraId="3E700E1F" w14:textId="77777777" w:rsidR="00941823" w:rsidRPr="00032CF3" w:rsidRDefault="00941823" w:rsidP="00C929BD">
            <w:pPr>
              <w:rPr>
                <w:rFonts w:cs="Arial"/>
                <w:szCs w:val="24"/>
              </w:rPr>
            </w:pPr>
            <w:r w:rsidRPr="00032CF3">
              <w:rPr>
                <w:rFonts w:cs="Arial"/>
                <w:szCs w:val="24"/>
              </w:rPr>
              <w:t>Where two or more controllers jointly determine the purposes and means of processing.  Joint controllers are not required to have a contract, but must have a transparent arrangement that sets out agreed roles and responsibilities for complying with the GDPR.</w:t>
            </w:r>
          </w:p>
        </w:tc>
      </w:tr>
      <w:tr w:rsidR="00C941AB" w:rsidRPr="00032CF3" w14:paraId="4DA75C4C" w14:textId="77777777" w:rsidTr="00C929BD">
        <w:tc>
          <w:tcPr>
            <w:tcW w:w="3253" w:type="dxa"/>
            <w:vAlign w:val="center"/>
          </w:tcPr>
          <w:p w14:paraId="3CE1693F" w14:textId="77777777" w:rsidR="00C941AB" w:rsidRPr="00032CF3" w:rsidRDefault="00C941AB" w:rsidP="00C929BD">
            <w:pPr>
              <w:rPr>
                <w:rFonts w:cs="Arial"/>
                <w:szCs w:val="24"/>
              </w:rPr>
            </w:pPr>
            <w:r>
              <w:rPr>
                <w:rFonts w:cs="Arial"/>
                <w:szCs w:val="24"/>
              </w:rPr>
              <w:t>Joint controller agreement</w:t>
            </w:r>
          </w:p>
        </w:tc>
        <w:tc>
          <w:tcPr>
            <w:tcW w:w="6807" w:type="dxa"/>
          </w:tcPr>
          <w:p w14:paraId="2E8F61CA" w14:textId="77777777" w:rsidR="00C941AB" w:rsidRPr="00032CF3" w:rsidRDefault="002614A4">
            <w:pPr>
              <w:rPr>
                <w:rStyle w:val="ilfuvd"/>
                <w:rFonts w:cs="Arial"/>
                <w:szCs w:val="24"/>
              </w:rPr>
            </w:pPr>
            <w:r w:rsidRPr="002614A4">
              <w:rPr>
                <w:rFonts w:cs="Arial"/>
                <w:szCs w:val="24"/>
              </w:rPr>
              <w:t>Joint controllers are not requ</w:t>
            </w:r>
            <w:r>
              <w:rPr>
                <w:rFonts w:cs="Arial"/>
                <w:szCs w:val="24"/>
              </w:rPr>
              <w:t>ired to have a contract, but</w:t>
            </w:r>
            <w:r w:rsidRPr="002614A4">
              <w:rPr>
                <w:rFonts w:cs="Arial"/>
                <w:szCs w:val="24"/>
              </w:rPr>
              <w:t xml:space="preserve"> must have a transparent arrangement that sets out your agreed roles and responsibilities for complying with the GDPR. </w:t>
            </w:r>
          </w:p>
        </w:tc>
      </w:tr>
      <w:tr w:rsidR="00941823" w:rsidRPr="00032CF3" w14:paraId="4CC5E0EA" w14:textId="77777777" w:rsidTr="00C929BD">
        <w:tc>
          <w:tcPr>
            <w:tcW w:w="3253" w:type="dxa"/>
            <w:vAlign w:val="center"/>
          </w:tcPr>
          <w:p w14:paraId="288CA840" w14:textId="77777777" w:rsidR="00941823" w:rsidRPr="00032CF3" w:rsidRDefault="00941823" w:rsidP="00C929BD">
            <w:pPr>
              <w:rPr>
                <w:rFonts w:cs="Arial"/>
                <w:szCs w:val="24"/>
              </w:rPr>
            </w:pPr>
            <w:r w:rsidRPr="00032CF3">
              <w:rPr>
                <w:rFonts w:cs="Arial"/>
                <w:szCs w:val="24"/>
              </w:rPr>
              <w:t>Lawful basis</w:t>
            </w:r>
          </w:p>
        </w:tc>
        <w:tc>
          <w:tcPr>
            <w:tcW w:w="6807" w:type="dxa"/>
          </w:tcPr>
          <w:p w14:paraId="371F7485" w14:textId="77777777" w:rsidR="00941823" w:rsidRPr="00032CF3" w:rsidRDefault="00941823" w:rsidP="00C929BD">
            <w:pPr>
              <w:rPr>
                <w:rFonts w:cs="Arial"/>
                <w:szCs w:val="24"/>
              </w:rPr>
            </w:pPr>
            <w:r w:rsidRPr="00032CF3">
              <w:rPr>
                <w:rStyle w:val="ilfuvd"/>
                <w:rFonts w:cs="Arial"/>
                <w:szCs w:val="24"/>
              </w:rPr>
              <w:t xml:space="preserve">The principle of accountability requires you to be able to demonstrate that you are complying with the GDPR, and have appropriate policies and processes. This </w:t>
            </w:r>
            <w:r w:rsidRPr="00032CF3">
              <w:rPr>
                <w:rStyle w:val="ilfuvd"/>
                <w:rFonts w:cs="Arial"/>
                <w:b/>
                <w:bCs w:val="0"/>
                <w:szCs w:val="24"/>
              </w:rPr>
              <w:t>means</w:t>
            </w:r>
            <w:r w:rsidRPr="00032CF3">
              <w:rPr>
                <w:rStyle w:val="ilfuvd"/>
                <w:rFonts w:cs="Arial"/>
                <w:szCs w:val="24"/>
              </w:rPr>
              <w:t xml:space="preserve"> that you need to be able to show that you have properly considered which </w:t>
            </w:r>
            <w:r w:rsidRPr="00032CF3">
              <w:rPr>
                <w:rStyle w:val="ilfuvd"/>
                <w:rFonts w:cs="Arial"/>
                <w:b/>
                <w:bCs w:val="0"/>
                <w:szCs w:val="24"/>
              </w:rPr>
              <w:t>lawful basis</w:t>
            </w:r>
            <w:r w:rsidRPr="00032CF3">
              <w:rPr>
                <w:rStyle w:val="ilfuvd"/>
                <w:rFonts w:cs="Arial"/>
                <w:szCs w:val="24"/>
              </w:rPr>
              <w:t xml:space="preserve"> applies to each processing purpose and can justify your decision</w:t>
            </w:r>
          </w:p>
        </w:tc>
      </w:tr>
      <w:tr w:rsidR="00941823" w:rsidRPr="00032CF3" w14:paraId="0CCB19F8" w14:textId="77777777" w:rsidTr="00C929BD">
        <w:tc>
          <w:tcPr>
            <w:tcW w:w="3253" w:type="dxa"/>
            <w:vAlign w:val="center"/>
          </w:tcPr>
          <w:p w14:paraId="5E525F9A" w14:textId="77777777" w:rsidR="00941823" w:rsidRPr="00032CF3" w:rsidRDefault="00941823" w:rsidP="00C929BD">
            <w:pPr>
              <w:rPr>
                <w:rFonts w:cs="Arial"/>
                <w:szCs w:val="24"/>
              </w:rPr>
            </w:pPr>
            <w:r w:rsidRPr="00032CF3">
              <w:rPr>
                <w:rFonts w:cs="Arial"/>
                <w:szCs w:val="24"/>
              </w:rPr>
              <w:t>Legal entity</w:t>
            </w:r>
          </w:p>
        </w:tc>
        <w:tc>
          <w:tcPr>
            <w:tcW w:w="6807" w:type="dxa"/>
          </w:tcPr>
          <w:p w14:paraId="192A74AF" w14:textId="77777777" w:rsidR="00941823" w:rsidRPr="00032CF3" w:rsidRDefault="00941823" w:rsidP="00C929BD">
            <w:pPr>
              <w:rPr>
                <w:rFonts w:cs="Arial"/>
                <w:szCs w:val="24"/>
              </w:rPr>
            </w:pPr>
            <w:r w:rsidRPr="00032CF3">
              <w:rPr>
                <w:rFonts w:cs="Arial"/>
                <w:szCs w:val="24"/>
              </w:rPr>
              <w:t xml:space="preserve">A lawful or legally standing association corporation, partnership, proprietorship, trust or individual which has legal capacity to (1) enter into agreements or contracts (2) assume obligations (3) incur and pay debts (4) sue and be sued in its own right, and (5) to be accountable for illegal activities. </w:t>
            </w:r>
          </w:p>
        </w:tc>
      </w:tr>
      <w:tr w:rsidR="00941823" w:rsidRPr="00032CF3" w14:paraId="6DA700FB" w14:textId="77777777" w:rsidTr="00C929BD">
        <w:tc>
          <w:tcPr>
            <w:tcW w:w="3253" w:type="dxa"/>
            <w:vAlign w:val="center"/>
          </w:tcPr>
          <w:p w14:paraId="66B00201" w14:textId="77777777" w:rsidR="00941823" w:rsidRPr="00032CF3" w:rsidRDefault="00941823" w:rsidP="00C929BD">
            <w:pPr>
              <w:rPr>
                <w:rFonts w:cs="Arial"/>
                <w:szCs w:val="24"/>
              </w:rPr>
            </w:pPr>
            <w:r w:rsidRPr="00032CF3">
              <w:rPr>
                <w:rFonts w:cs="Arial"/>
                <w:szCs w:val="24"/>
              </w:rPr>
              <w:t>Legal obligation</w:t>
            </w:r>
          </w:p>
        </w:tc>
        <w:tc>
          <w:tcPr>
            <w:tcW w:w="6807" w:type="dxa"/>
          </w:tcPr>
          <w:p w14:paraId="0949C213" w14:textId="77777777" w:rsidR="00941823" w:rsidRPr="00032CF3" w:rsidRDefault="00941823" w:rsidP="00C929BD">
            <w:pPr>
              <w:rPr>
                <w:rFonts w:cs="Arial"/>
                <w:szCs w:val="24"/>
              </w:rPr>
            </w:pPr>
            <w:r w:rsidRPr="00032CF3">
              <w:rPr>
                <w:rFonts w:cs="Arial"/>
                <w:szCs w:val="24"/>
              </w:rPr>
              <w:t xml:space="preserve">The obligation or duty that is enforced by a court of law. </w:t>
            </w:r>
          </w:p>
        </w:tc>
      </w:tr>
      <w:tr w:rsidR="00941823" w:rsidRPr="00032CF3" w14:paraId="57EE54A3" w14:textId="77777777" w:rsidTr="00C929BD">
        <w:tc>
          <w:tcPr>
            <w:tcW w:w="3253" w:type="dxa"/>
            <w:vAlign w:val="center"/>
          </w:tcPr>
          <w:p w14:paraId="3ADD9239" w14:textId="77777777" w:rsidR="00941823" w:rsidRPr="00032CF3" w:rsidRDefault="00941823" w:rsidP="00C929BD">
            <w:pPr>
              <w:rPr>
                <w:rFonts w:cs="Arial"/>
                <w:szCs w:val="24"/>
              </w:rPr>
            </w:pPr>
            <w:r w:rsidRPr="00032CF3">
              <w:rPr>
                <w:rFonts w:cs="Arial"/>
                <w:szCs w:val="24"/>
              </w:rPr>
              <w:t>Legal vires</w:t>
            </w:r>
          </w:p>
        </w:tc>
        <w:tc>
          <w:tcPr>
            <w:tcW w:w="6807" w:type="dxa"/>
          </w:tcPr>
          <w:p w14:paraId="613F640E" w14:textId="77777777" w:rsidR="00941823" w:rsidRPr="00032CF3" w:rsidRDefault="00941823" w:rsidP="00C929BD">
            <w:pPr>
              <w:rPr>
                <w:rFonts w:cs="Arial"/>
                <w:szCs w:val="24"/>
              </w:rPr>
            </w:pPr>
            <w:r w:rsidRPr="00032CF3">
              <w:rPr>
                <w:rFonts w:cs="Arial"/>
                <w:szCs w:val="24"/>
              </w:rPr>
              <w:t>Legal powers set out in statute.</w:t>
            </w:r>
          </w:p>
        </w:tc>
      </w:tr>
      <w:tr w:rsidR="00941823" w:rsidRPr="00032CF3" w14:paraId="22221B56" w14:textId="77777777" w:rsidTr="00C929BD">
        <w:tc>
          <w:tcPr>
            <w:tcW w:w="3253" w:type="dxa"/>
            <w:vAlign w:val="center"/>
          </w:tcPr>
          <w:p w14:paraId="6D31CC1A" w14:textId="77777777" w:rsidR="00941823" w:rsidRPr="00032CF3" w:rsidRDefault="00941823" w:rsidP="00C929BD">
            <w:pPr>
              <w:rPr>
                <w:rFonts w:cs="Arial"/>
                <w:szCs w:val="24"/>
              </w:rPr>
            </w:pPr>
            <w:r w:rsidRPr="00032CF3">
              <w:rPr>
                <w:rFonts w:cs="Arial"/>
                <w:szCs w:val="24"/>
              </w:rPr>
              <w:t>Local Health and Care Record (LHCR)</w:t>
            </w:r>
          </w:p>
        </w:tc>
        <w:tc>
          <w:tcPr>
            <w:tcW w:w="6807" w:type="dxa"/>
          </w:tcPr>
          <w:p w14:paraId="2A6FE7F3" w14:textId="77777777" w:rsidR="00941823" w:rsidRPr="00032CF3" w:rsidRDefault="00941823" w:rsidP="00C929BD">
            <w:pPr>
              <w:tabs>
                <w:tab w:val="num" w:pos="720"/>
              </w:tabs>
              <w:rPr>
                <w:rFonts w:cs="Arial"/>
                <w:szCs w:val="24"/>
              </w:rPr>
            </w:pPr>
            <w:r w:rsidRPr="00032CF3">
              <w:rPr>
                <w:rFonts w:cs="Arial"/>
                <w:szCs w:val="24"/>
              </w:rPr>
              <w:t>Local Health and Care Records will ensure information is collected and made available across local populations to support joined up and safer care.</w:t>
            </w:r>
          </w:p>
        </w:tc>
      </w:tr>
      <w:tr w:rsidR="00941823" w:rsidRPr="00032CF3" w14:paraId="0CAEE1A9" w14:textId="77777777" w:rsidTr="00C929BD">
        <w:tc>
          <w:tcPr>
            <w:tcW w:w="3253" w:type="dxa"/>
            <w:vAlign w:val="center"/>
          </w:tcPr>
          <w:p w14:paraId="117F85B7" w14:textId="77777777" w:rsidR="00941823" w:rsidRPr="00032CF3" w:rsidRDefault="00941823" w:rsidP="00C929BD">
            <w:pPr>
              <w:rPr>
                <w:rFonts w:cs="Arial"/>
                <w:szCs w:val="24"/>
              </w:rPr>
            </w:pPr>
            <w:r w:rsidRPr="00032CF3">
              <w:rPr>
                <w:rFonts w:cs="Arial"/>
                <w:szCs w:val="24"/>
              </w:rPr>
              <w:t xml:space="preserve">Medical Research </w:t>
            </w:r>
          </w:p>
        </w:tc>
        <w:tc>
          <w:tcPr>
            <w:tcW w:w="6807" w:type="dxa"/>
          </w:tcPr>
          <w:p w14:paraId="64397E4B" w14:textId="77777777" w:rsidR="00941823" w:rsidRPr="00032CF3" w:rsidRDefault="00941823" w:rsidP="00C929BD">
            <w:pPr>
              <w:rPr>
                <w:rFonts w:cs="Arial"/>
                <w:szCs w:val="24"/>
              </w:rPr>
            </w:pPr>
            <w:r w:rsidRPr="00032CF3">
              <w:rPr>
                <w:rFonts w:cs="Arial"/>
                <w:szCs w:val="24"/>
              </w:rPr>
              <w:t xml:space="preserve">Medical research studies are designed to provide information on health or disease. Organisations processing data for research purposes must have appropriate organisational and technical measures in place.  This includes approval from a research ethics committee (as defined in the Data Protection Act) if it involves processing data in order to do or decide something with respect to an individual person. </w:t>
            </w:r>
          </w:p>
        </w:tc>
      </w:tr>
      <w:tr w:rsidR="00941823" w:rsidRPr="00032CF3" w14:paraId="3CA1D966" w14:textId="77777777" w:rsidTr="00C929BD">
        <w:tc>
          <w:tcPr>
            <w:tcW w:w="3253" w:type="dxa"/>
            <w:vAlign w:val="center"/>
          </w:tcPr>
          <w:p w14:paraId="2C13BEC7" w14:textId="77777777" w:rsidR="00941823" w:rsidRPr="00032CF3" w:rsidRDefault="00941823" w:rsidP="00C929BD">
            <w:pPr>
              <w:rPr>
                <w:rFonts w:cs="Arial"/>
                <w:szCs w:val="24"/>
              </w:rPr>
            </w:pPr>
            <w:r w:rsidRPr="00032CF3">
              <w:rPr>
                <w:rFonts w:cs="Arial"/>
                <w:szCs w:val="24"/>
              </w:rPr>
              <w:t>National Data Guardian (NDG)</w:t>
            </w:r>
          </w:p>
        </w:tc>
        <w:tc>
          <w:tcPr>
            <w:tcW w:w="6807" w:type="dxa"/>
          </w:tcPr>
          <w:p w14:paraId="0C8A9C7B" w14:textId="77777777" w:rsidR="00941823" w:rsidRPr="00032CF3" w:rsidRDefault="00941823" w:rsidP="00C929BD">
            <w:pPr>
              <w:rPr>
                <w:rFonts w:cs="Arial"/>
                <w:szCs w:val="24"/>
              </w:rPr>
            </w:pPr>
            <w:r w:rsidRPr="00032CF3">
              <w:rPr>
                <w:rFonts w:cs="Arial"/>
                <w:szCs w:val="24"/>
              </w:rPr>
              <w:t>The National Data Guardian (NDG) advises and challenges the health and care system to help ensure that citizens’ confidential information is safeguarded securely and used properly.</w:t>
            </w:r>
          </w:p>
        </w:tc>
      </w:tr>
      <w:tr w:rsidR="00941823" w:rsidRPr="00032CF3" w14:paraId="34E848D1" w14:textId="77777777" w:rsidTr="00C929BD">
        <w:tc>
          <w:tcPr>
            <w:tcW w:w="3253" w:type="dxa"/>
            <w:vAlign w:val="center"/>
          </w:tcPr>
          <w:p w14:paraId="281DF92B" w14:textId="77777777" w:rsidR="00941823" w:rsidRPr="00032CF3" w:rsidRDefault="00941823" w:rsidP="00C929BD">
            <w:pPr>
              <w:rPr>
                <w:rFonts w:cs="Arial"/>
                <w:szCs w:val="24"/>
              </w:rPr>
            </w:pPr>
            <w:r w:rsidRPr="00032CF3">
              <w:rPr>
                <w:rFonts w:cs="Arial"/>
                <w:szCs w:val="24"/>
              </w:rPr>
              <w:t xml:space="preserve">National data opt-out </w:t>
            </w:r>
          </w:p>
        </w:tc>
        <w:tc>
          <w:tcPr>
            <w:tcW w:w="6807" w:type="dxa"/>
          </w:tcPr>
          <w:p w14:paraId="20ECBBAB" w14:textId="77777777" w:rsidR="00941823" w:rsidRPr="00032CF3" w:rsidRDefault="00941823" w:rsidP="00C929BD">
            <w:pPr>
              <w:rPr>
                <w:rFonts w:cs="Arial"/>
                <w:szCs w:val="24"/>
              </w:rPr>
            </w:pPr>
            <w:r w:rsidRPr="00032CF3">
              <w:rPr>
                <w:rFonts w:cs="Arial"/>
                <w:color w:val="FF0000"/>
                <w:szCs w:val="24"/>
              </w:rPr>
              <w:t xml:space="preserve"> </w:t>
            </w:r>
            <w:r w:rsidRPr="00032CF3">
              <w:rPr>
                <w:rFonts w:cs="Arial"/>
                <w:szCs w:val="24"/>
              </w:rPr>
              <w:t xml:space="preserve">A new service that allows people to opt out of their confidential patient information being used for research and planning.  </w:t>
            </w:r>
          </w:p>
        </w:tc>
      </w:tr>
      <w:tr w:rsidR="00941823" w:rsidRPr="00032CF3" w14:paraId="7497116A" w14:textId="77777777" w:rsidTr="00C929BD">
        <w:tc>
          <w:tcPr>
            <w:tcW w:w="3253" w:type="dxa"/>
            <w:vAlign w:val="center"/>
          </w:tcPr>
          <w:p w14:paraId="4E3E4E85" w14:textId="77777777" w:rsidR="00941823" w:rsidRPr="00032CF3" w:rsidRDefault="00941823" w:rsidP="00C929BD">
            <w:pPr>
              <w:rPr>
                <w:rFonts w:cs="Arial"/>
                <w:szCs w:val="24"/>
                <w:highlight w:val="yellow"/>
              </w:rPr>
            </w:pPr>
            <w:r w:rsidRPr="00032CF3">
              <w:rPr>
                <w:rFonts w:cs="Arial"/>
                <w:szCs w:val="24"/>
              </w:rPr>
              <w:t>Natural person</w:t>
            </w:r>
          </w:p>
        </w:tc>
        <w:tc>
          <w:tcPr>
            <w:tcW w:w="6807" w:type="dxa"/>
          </w:tcPr>
          <w:p w14:paraId="475720ED" w14:textId="77777777" w:rsidR="00941823" w:rsidRPr="00032CF3" w:rsidRDefault="00941823" w:rsidP="00C929BD">
            <w:pPr>
              <w:rPr>
                <w:rFonts w:cs="Arial"/>
                <w:szCs w:val="24"/>
              </w:rPr>
            </w:pPr>
            <w:r w:rsidRPr="00032CF3">
              <w:rPr>
                <w:rFonts w:cs="Arial"/>
                <w:szCs w:val="24"/>
              </w:rPr>
              <w:t xml:space="preserve">A living human being with certain rights and responsibilities under law. </w:t>
            </w:r>
          </w:p>
        </w:tc>
      </w:tr>
      <w:tr w:rsidR="00941823" w:rsidRPr="00032CF3" w14:paraId="79DAE5BF" w14:textId="77777777" w:rsidTr="00C929BD">
        <w:tc>
          <w:tcPr>
            <w:tcW w:w="3253" w:type="dxa"/>
            <w:vAlign w:val="center"/>
          </w:tcPr>
          <w:p w14:paraId="6284103C" w14:textId="77777777" w:rsidR="00941823" w:rsidRPr="00032CF3" w:rsidRDefault="00941823" w:rsidP="00C929BD">
            <w:pPr>
              <w:rPr>
                <w:rFonts w:cs="Arial"/>
                <w:szCs w:val="24"/>
              </w:rPr>
            </w:pPr>
            <w:r w:rsidRPr="00032CF3">
              <w:rPr>
                <w:rFonts w:cs="Arial"/>
                <w:szCs w:val="24"/>
              </w:rPr>
              <w:t>NHS Digital Data Security and Protection toolkit (DSPT)</w:t>
            </w:r>
          </w:p>
        </w:tc>
        <w:tc>
          <w:tcPr>
            <w:tcW w:w="6807" w:type="dxa"/>
          </w:tcPr>
          <w:p w14:paraId="7F6FAA08" w14:textId="77777777" w:rsidR="00941823" w:rsidRPr="00032CF3" w:rsidRDefault="00941823" w:rsidP="00C929BD">
            <w:pPr>
              <w:rPr>
                <w:rFonts w:cs="Arial"/>
                <w:szCs w:val="24"/>
              </w:rPr>
            </w:pPr>
            <w:r w:rsidRPr="00032CF3">
              <w:rPr>
                <w:rFonts w:cs="Arial"/>
                <w:szCs w:val="24"/>
              </w:rPr>
              <w:t xml:space="preserve">The data security and protection toolkit replaces the NHS information governance toolkit as an online self-assessment tool that enables health and social care organisations, </w:t>
            </w:r>
            <w:r w:rsidRPr="00032CF3">
              <w:rPr>
                <w:rFonts w:cs="Arial"/>
                <w:szCs w:val="24"/>
              </w:rPr>
              <w:lastRenderedPageBreak/>
              <w:t xml:space="preserve">commissioners, IT suppliers and other relevant third parties to determine how securely the organisation manages their data. </w:t>
            </w:r>
          </w:p>
        </w:tc>
      </w:tr>
      <w:tr w:rsidR="00941823" w:rsidRPr="00032CF3" w14:paraId="55795F3B" w14:textId="77777777" w:rsidTr="00C929BD">
        <w:tc>
          <w:tcPr>
            <w:tcW w:w="3253" w:type="dxa"/>
            <w:vAlign w:val="center"/>
          </w:tcPr>
          <w:p w14:paraId="5DACBF81" w14:textId="77777777" w:rsidR="00941823" w:rsidRPr="00032CF3" w:rsidRDefault="00941823" w:rsidP="00C929BD">
            <w:pPr>
              <w:rPr>
                <w:rFonts w:cs="Arial"/>
                <w:szCs w:val="24"/>
              </w:rPr>
            </w:pPr>
            <w:r w:rsidRPr="00032CF3">
              <w:rPr>
                <w:rFonts w:cs="Arial"/>
                <w:szCs w:val="24"/>
              </w:rPr>
              <w:lastRenderedPageBreak/>
              <w:t xml:space="preserve">Personal data </w:t>
            </w:r>
          </w:p>
        </w:tc>
        <w:tc>
          <w:tcPr>
            <w:tcW w:w="6807" w:type="dxa"/>
          </w:tcPr>
          <w:p w14:paraId="473BA017" w14:textId="77777777" w:rsidR="00941823" w:rsidRPr="00032CF3" w:rsidRDefault="00941823" w:rsidP="00C929BD">
            <w:pPr>
              <w:rPr>
                <w:rFonts w:cs="Arial"/>
                <w:szCs w:val="24"/>
              </w:rPr>
            </w:pPr>
            <w:r w:rsidRPr="00032CF3">
              <w:rPr>
                <w:rFonts w:cs="Arial"/>
                <w:szCs w:val="24"/>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941823" w:rsidRPr="00032CF3" w14:paraId="28B73580" w14:textId="77777777" w:rsidTr="00C929BD">
        <w:tc>
          <w:tcPr>
            <w:tcW w:w="3253" w:type="dxa"/>
            <w:vAlign w:val="center"/>
          </w:tcPr>
          <w:p w14:paraId="2C474236" w14:textId="77777777" w:rsidR="00941823" w:rsidRPr="00032CF3" w:rsidRDefault="00941823" w:rsidP="00C929BD">
            <w:pPr>
              <w:rPr>
                <w:rFonts w:cs="Arial"/>
                <w:szCs w:val="24"/>
              </w:rPr>
            </w:pPr>
            <w:r w:rsidRPr="00032CF3">
              <w:rPr>
                <w:rFonts w:cs="Arial"/>
                <w:szCs w:val="24"/>
              </w:rPr>
              <w:t xml:space="preserve">Personal data breach </w:t>
            </w:r>
          </w:p>
        </w:tc>
        <w:tc>
          <w:tcPr>
            <w:tcW w:w="6807" w:type="dxa"/>
          </w:tcPr>
          <w:p w14:paraId="44C3DB0C" w14:textId="77777777" w:rsidR="00941823" w:rsidRPr="00032CF3" w:rsidRDefault="00941823" w:rsidP="00C929BD">
            <w:pPr>
              <w:rPr>
                <w:rFonts w:cs="Arial"/>
                <w:szCs w:val="24"/>
              </w:rPr>
            </w:pPr>
            <w:r w:rsidRPr="00032CF3">
              <w:rPr>
                <w:rFonts w:cs="Arial"/>
                <w:szCs w:val="24"/>
              </w:rPr>
              <w:t xml:space="preserve">A breach of security leading to the accidental or unlawful destruction, loss, alteration, unauthorised disclosure of, or access to, personal data transmitted, stored or otherwise processed. </w:t>
            </w:r>
          </w:p>
        </w:tc>
      </w:tr>
      <w:tr w:rsidR="00941823" w:rsidRPr="00032CF3" w14:paraId="0D8B5E69" w14:textId="77777777" w:rsidTr="00C929BD">
        <w:tc>
          <w:tcPr>
            <w:tcW w:w="3253" w:type="dxa"/>
            <w:vAlign w:val="center"/>
          </w:tcPr>
          <w:p w14:paraId="178C36AF" w14:textId="77777777" w:rsidR="00941823" w:rsidRPr="00032CF3" w:rsidRDefault="00941823" w:rsidP="00C929BD">
            <w:pPr>
              <w:rPr>
                <w:rFonts w:cs="Arial"/>
                <w:szCs w:val="24"/>
              </w:rPr>
            </w:pPr>
            <w:r w:rsidRPr="00032CF3">
              <w:rPr>
                <w:rFonts w:cs="Arial"/>
                <w:szCs w:val="24"/>
              </w:rPr>
              <w:t>Privacy information</w:t>
            </w:r>
          </w:p>
        </w:tc>
        <w:tc>
          <w:tcPr>
            <w:tcW w:w="6807" w:type="dxa"/>
          </w:tcPr>
          <w:p w14:paraId="791AA07A" w14:textId="77777777" w:rsidR="00941823" w:rsidRPr="00032CF3" w:rsidRDefault="00941823" w:rsidP="00C929BD">
            <w:pPr>
              <w:rPr>
                <w:rFonts w:cs="Arial"/>
                <w:szCs w:val="24"/>
              </w:rPr>
            </w:pPr>
            <w:r w:rsidRPr="00032CF3">
              <w:rPr>
                <w:rFonts w:cs="Arial"/>
                <w:szCs w:val="24"/>
              </w:rPr>
              <w:t>Information provided to individuals about the collection and use of their personal data.  This must include purposes for processing their personal data, retention periods for that personal data, and who it will be shared with.  This must be provided at the time personal data is collected.</w:t>
            </w:r>
          </w:p>
        </w:tc>
      </w:tr>
      <w:tr w:rsidR="00941823" w:rsidRPr="00032CF3" w14:paraId="34C2AAD8" w14:textId="77777777" w:rsidTr="00C929BD">
        <w:tc>
          <w:tcPr>
            <w:tcW w:w="3253" w:type="dxa"/>
            <w:vAlign w:val="center"/>
          </w:tcPr>
          <w:p w14:paraId="36B19FD0" w14:textId="77777777" w:rsidR="00941823" w:rsidRPr="00032CF3" w:rsidRDefault="00941823" w:rsidP="00C929BD">
            <w:pPr>
              <w:rPr>
                <w:rFonts w:cs="Arial"/>
                <w:szCs w:val="24"/>
              </w:rPr>
            </w:pPr>
            <w:r w:rsidRPr="00032CF3">
              <w:rPr>
                <w:rFonts w:cs="Arial"/>
                <w:szCs w:val="24"/>
              </w:rPr>
              <w:t xml:space="preserve">Processing </w:t>
            </w:r>
          </w:p>
        </w:tc>
        <w:tc>
          <w:tcPr>
            <w:tcW w:w="6807" w:type="dxa"/>
          </w:tcPr>
          <w:p w14:paraId="574CB4D8" w14:textId="77777777" w:rsidR="00941823" w:rsidRPr="00032CF3" w:rsidRDefault="00941823" w:rsidP="00C929BD">
            <w:pPr>
              <w:rPr>
                <w:rFonts w:cs="Arial"/>
                <w:szCs w:val="24"/>
              </w:rPr>
            </w:pPr>
            <w:r w:rsidRPr="00032CF3">
              <w:rPr>
                <w:rFonts w:cs="Arial"/>
                <w:szCs w:val="24"/>
              </w:rPr>
              <w:t>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r>
      <w:tr w:rsidR="00941823" w:rsidRPr="00032CF3" w14:paraId="7109C87A" w14:textId="77777777" w:rsidTr="00C929BD">
        <w:tc>
          <w:tcPr>
            <w:tcW w:w="3253" w:type="dxa"/>
            <w:vAlign w:val="center"/>
          </w:tcPr>
          <w:p w14:paraId="2B20FB49" w14:textId="77777777" w:rsidR="00941823" w:rsidRPr="00032CF3" w:rsidRDefault="00941823" w:rsidP="00C929BD">
            <w:pPr>
              <w:rPr>
                <w:rFonts w:cs="Arial"/>
                <w:szCs w:val="24"/>
              </w:rPr>
            </w:pPr>
            <w:r w:rsidRPr="00032CF3">
              <w:rPr>
                <w:rFonts w:cs="Arial"/>
                <w:szCs w:val="24"/>
              </w:rPr>
              <w:t xml:space="preserve">Processor </w:t>
            </w:r>
          </w:p>
        </w:tc>
        <w:tc>
          <w:tcPr>
            <w:tcW w:w="6807" w:type="dxa"/>
          </w:tcPr>
          <w:p w14:paraId="2B54D8B1" w14:textId="77777777" w:rsidR="00941823" w:rsidRPr="00032CF3" w:rsidRDefault="00941823" w:rsidP="00C929BD">
            <w:pPr>
              <w:rPr>
                <w:rFonts w:cs="Arial"/>
                <w:color w:val="FF0000"/>
                <w:szCs w:val="24"/>
              </w:rPr>
            </w:pPr>
            <w:r w:rsidRPr="00032CF3">
              <w:rPr>
                <w:rFonts w:cs="Arial"/>
                <w:szCs w:val="24"/>
              </w:rPr>
              <w:t>A natural or legal person, public authority, agency or other body which processes personal data on behalf of the controller. This applies only to Journey 3 and Journey 4.</w:t>
            </w:r>
          </w:p>
        </w:tc>
      </w:tr>
      <w:tr w:rsidR="00941823" w:rsidRPr="00032CF3" w14:paraId="5ACAD5DC" w14:textId="77777777" w:rsidTr="00C929BD">
        <w:tc>
          <w:tcPr>
            <w:tcW w:w="3253" w:type="dxa"/>
            <w:vAlign w:val="center"/>
          </w:tcPr>
          <w:p w14:paraId="1F5CE9C8" w14:textId="77777777" w:rsidR="00941823" w:rsidRPr="00032CF3" w:rsidRDefault="00941823" w:rsidP="00C929BD">
            <w:pPr>
              <w:rPr>
                <w:rFonts w:cs="Arial"/>
                <w:szCs w:val="24"/>
              </w:rPr>
            </w:pPr>
            <w:r w:rsidRPr="00032CF3">
              <w:rPr>
                <w:rFonts w:cs="Arial"/>
                <w:szCs w:val="24"/>
              </w:rPr>
              <w:t>Publication scheme</w:t>
            </w:r>
          </w:p>
        </w:tc>
        <w:tc>
          <w:tcPr>
            <w:tcW w:w="6807" w:type="dxa"/>
          </w:tcPr>
          <w:p w14:paraId="4A816211" w14:textId="77777777" w:rsidR="00941823" w:rsidRPr="00032CF3" w:rsidRDefault="00941823" w:rsidP="00C929BD">
            <w:pPr>
              <w:rPr>
                <w:rFonts w:cs="Arial"/>
                <w:szCs w:val="24"/>
              </w:rPr>
            </w:pPr>
            <w:r w:rsidRPr="00032CF3">
              <w:rPr>
                <w:rFonts w:cs="Arial"/>
                <w:szCs w:val="24"/>
              </w:rPr>
              <w:t>The Freedom of Information Act 2000 provides the public access to official information held by public authorities.  It requires every public authority to have a publication scheme, approved by the Information Commissioner’s Office (ICO), and to publish information covered by the scheme.</w:t>
            </w:r>
          </w:p>
          <w:p w14:paraId="609BF9CB" w14:textId="77777777" w:rsidR="00941823" w:rsidRPr="00032CF3" w:rsidRDefault="00941823" w:rsidP="00C929BD">
            <w:pPr>
              <w:rPr>
                <w:rFonts w:cs="Arial"/>
                <w:szCs w:val="24"/>
              </w:rPr>
            </w:pPr>
            <w:r w:rsidRPr="00032CF3">
              <w:rPr>
                <w:rFonts w:cs="Arial"/>
                <w:szCs w:val="24"/>
              </w:rPr>
              <w:t xml:space="preserve">A publication scheme is a guide to the official information an organisation holds and routinely makes available such as who they are and what they do, how they spend their money etc. </w:t>
            </w:r>
          </w:p>
        </w:tc>
      </w:tr>
      <w:tr w:rsidR="00941823" w:rsidRPr="00032CF3" w14:paraId="000C1A57" w14:textId="77777777" w:rsidTr="00C929BD">
        <w:tc>
          <w:tcPr>
            <w:tcW w:w="3253" w:type="dxa"/>
            <w:vAlign w:val="center"/>
          </w:tcPr>
          <w:p w14:paraId="327B2F17" w14:textId="77777777" w:rsidR="00941823" w:rsidRPr="00032CF3" w:rsidRDefault="00941823" w:rsidP="00C929BD">
            <w:pPr>
              <w:rPr>
                <w:rFonts w:cs="Arial"/>
                <w:szCs w:val="24"/>
              </w:rPr>
            </w:pPr>
            <w:r w:rsidRPr="00032CF3">
              <w:rPr>
                <w:rFonts w:cs="Arial"/>
                <w:szCs w:val="24"/>
              </w:rPr>
              <w:t xml:space="preserve">Re-identification </w:t>
            </w:r>
          </w:p>
        </w:tc>
        <w:tc>
          <w:tcPr>
            <w:tcW w:w="6807" w:type="dxa"/>
          </w:tcPr>
          <w:p w14:paraId="3ACA5AD9" w14:textId="77777777" w:rsidR="00941823" w:rsidRPr="00032CF3" w:rsidRDefault="00941823" w:rsidP="00C929BD">
            <w:pPr>
              <w:rPr>
                <w:rFonts w:cs="Arial"/>
                <w:szCs w:val="24"/>
              </w:rPr>
            </w:pPr>
            <w:r w:rsidRPr="00032CF3">
              <w:rPr>
                <w:rFonts w:cs="Arial"/>
                <w:szCs w:val="24"/>
              </w:rPr>
              <w:t xml:space="preserve">The process of analysing data or combining it with other data with the result that individuals become identifiable. </w:t>
            </w:r>
          </w:p>
        </w:tc>
      </w:tr>
      <w:tr w:rsidR="00941823" w:rsidRPr="00032CF3" w14:paraId="3AA866E7" w14:textId="77777777" w:rsidTr="00C929BD">
        <w:tc>
          <w:tcPr>
            <w:tcW w:w="3253" w:type="dxa"/>
            <w:vAlign w:val="center"/>
          </w:tcPr>
          <w:p w14:paraId="6B5B3779" w14:textId="77777777" w:rsidR="00941823" w:rsidRPr="00032CF3" w:rsidRDefault="00941823" w:rsidP="00C929BD">
            <w:pPr>
              <w:rPr>
                <w:rFonts w:cs="Arial"/>
                <w:szCs w:val="24"/>
              </w:rPr>
            </w:pPr>
            <w:r w:rsidRPr="00032CF3">
              <w:rPr>
                <w:rFonts w:cs="Arial"/>
                <w:szCs w:val="24"/>
              </w:rPr>
              <w:t>Reasonable expectations</w:t>
            </w:r>
          </w:p>
        </w:tc>
        <w:tc>
          <w:tcPr>
            <w:tcW w:w="6807" w:type="dxa"/>
          </w:tcPr>
          <w:p w14:paraId="256BFBD2" w14:textId="77777777" w:rsidR="00941823" w:rsidRPr="00032CF3" w:rsidRDefault="00941823" w:rsidP="00C929BD">
            <w:pPr>
              <w:rPr>
                <w:rFonts w:cs="Arial"/>
                <w:color w:val="FF0000"/>
                <w:szCs w:val="24"/>
              </w:rPr>
            </w:pPr>
            <w:r w:rsidRPr="00032CF3">
              <w:rPr>
                <w:rFonts w:cs="Arial"/>
                <w:szCs w:val="24"/>
              </w:rPr>
              <w:t xml:space="preserve">What a reasonable person would expect to happen, given the circumstances and information available to them. </w:t>
            </w:r>
            <w:r w:rsidR="005A6C72">
              <w:rPr>
                <w:rFonts w:cs="Arial"/>
                <w:szCs w:val="24"/>
              </w:rPr>
              <w:t>This is important to consider when relying on implied consent</w:t>
            </w:r>
          </w:p>
        </w:tc>
      </w:tr>
      <w:tr w:rsidR="00941823" w:rsidRPr="00032CF3" w14:paraId="1836E247" w14:textId="77777777" w:rsidTr="00C929BD">
        <w:tc>
          <w:tcPr>
            <w:tcW w:w="3253" w:type="dxa"/>
            <w:vAlign w:val="center"/>
          </w:tcPr>
          <w:p w14:paraId="69808DEC" w14:textId="77777777" w:rsidR="00941823" w:rsidRPr="00032CF3" w:rsidRDefault="00941823" w:rsidP="00C929BD">
            <w:pPr>
              <w:rPr>
                <w:rFonts w:cs="Arial"/>
                <w:szCs w:val="24"/>
              </w:rPr>
            </w:pPr>
            <w:r w:rsidRPr="00032CF3">
              <w:rPr>
                <w:rFonts w:cs="Arial"/>
                <w:szCs w:val="24"/>
              </w:rPr>
              <w:t>Records of Processing Activity (RoPA)</w:t>
            </w:r>
          </w:p>
        </w:tc>
        <w:tc>
          <w:tcPr>
            <w:tcW w:w="6807" w:type="dxa"/>
          </w:tcPr>
          <w:p w14:paraId="03D1870E" w14:textId="77777777" w:rsidR="00941823" w:rsidRPr="00032CF3" w:rsidRDefault="00941823" w:rsidP="00C929BD">
            <w:pPr>
              <w:rPr>
                <w:rFonts w:cs="Arial"/>
                <w:szCs w:val="24"/>
              </w:rPr>
            </w:pPr>
            <w:r w:rsidRPr="00032CF3">
              <w:rPr>
                <w:rFonts w:cs="Arial"/>
                <w:szCs w:val="24"/>
              </w:rPr>
              <w:t>Article 30 of GDPR states that each controller shall maintain a record of processing activities under its responsibilities.  The Article details what should be contained in the record</w:t>
            </w:r>
          </w:p>
        </w:tc>
      </w:tr>
      <w:tr w:rsidR="00941823" w:rsidRPr="00032CF3" w14:paraId="6AF8BE68" w14:textId="77777777" w:rsidTr="00C929BD">
        <w:tc>
          <w:tcPr>
            <w:tcW w:w="3253" w:type="dxa"/>
            <w:vAlign w:val="center"/>
          </w:tcPr>
          <w:p w14:paraId="0C938E7F" w14:textId="77777777" w:rsidR="00941823" w:rsidRPr="00032CF3" w:rsidRDefault="00941823" w:rsidP="00C929BD">
            <w:pPr>
              <w:rPr>
                <w:rFonts w:cs="Arial"/>
                <w:szCs w:val="24"/>
              </w:rPr>
            </w:pPr>
            <w:r w:rsidRPr="00032CF3">
              <w:rPr>
                <w:rFonts w:cs="Arial"/>
                <w:szCs w:val="24"/>
              </w:rPr>
              <w:lastRenderedPageBreak/>
              <w:t>Risk register</w:t>
            </w:r>
          </w:p>
        </w:tc>
        <w:tc>
          <w:tcPr>
            <w:tcW w:w="6807" w:type="dxa"/>
          </w:tcPr>
          <w:p w14:paraId="13CE434E" w14:textId="77777777" w:rsidR="00941823" w:rsidRPr="00032CF3" w:rsidRDefault="00941823" w:rsidP="00C929BD">
            <w:pPr>
              <w:rPr>
                <w:rFonts w:cs="Arial"/>
                <w:szCs w:val="24"/>
              </w:rPr>
            </w:pPr>
            <w:r w:rsidRPr="00032CF3">
              <w:rPr>
                <w:rFonts w:cs="Arial"/>
                <w:szCs w:val="24"/>
              </w:rPr>
              <w:t xml:space="preserve">Data Protection Impact Assessments require an assessment of risks and measures to help mitigate those risks.  A risk register is a tool which can support this by formally capturing the risk, information the nature, the owner and the mitigation of each risk </w:t>
            </w:r>
          </w:p>
        </w:tc>
      </w:tr>
      <w:tr w:rsidR="00941823" w:rsidRPr="00032CF3" w14:paraId="16C02B24" w14:textId="77777777" w:rsidTr="00C929BD">
        <w:tc>
          <w:tcPr>
            <w:tcW w:w="3253" w:type="dxa"/>
            <w:vAlign w:val="center"/>
          </w:tcPr>
          <w:p w14:paraId="63AD8906" w14:textId="77777777" w:rsidR="00941823" w:rsidRPr="00032CF3" w:rsidRDefault="00941823" w:rsidP="00C929BD">
            <w:pPr>
              <w:rPr>
                <w:rFonts w:cs="Arial"/>
                <w:szCs w:val="24"/>
              </w:rPr>
            </w:pPr>
            <w:r w:rsidRPr="00032CF3">
              <w:rPr>
                <w:rFonts w:cs="Arial"/>
                <w:szCs w:val="24"/>
              </w:rPr>
              <w:t>Role based access</w:t>
            </w:r>
          </w:p>
        </w:tc>
        <w:tc>
          <w:tcPr>
            <w:tcW w:w="6807" w:type="dxa"/>
          </w:tcPr>
          <w:p w14:paraId="136EA517" w14:textId="77777777" w:rsidR="00941823" w:rsidRPr="00032CF3" w:rsidRDefault="00941823" w:rsidP="00C929BD">
            <w:pPr>
              <w:rPr>
                <w:rFonts w:cs="Arial"/>
                <w:szCs w:val="24"/>
              </w:rPr>
            </w:pPr>
            <w:r w:rsidRPr="00032CF3">
              <w:rPr>
                <w:rFonts w:cs="Arial"/>
                <w:szCs w:val="24"/>
              </w:rPr>
              <w:t xml:space="preserve">Access to data is dependent on the role of the person so a receptionist would see different information to a consultant. </w:t>
            </w:r>
          </w:p>
        </w:tc>
      </w:tr>
      <w:tr w:rsidR="00941823" w:rsidRPr="00032CF3" w14:paraId="251BFCB6" w14:textId="77777777" w:rsidTr="00C929BD">
        <w:tc>
          <w:tcPr>
            <w:tcW w:w="3253" w:type="dxa"/>
            <w:vAlign w:val="center"/>
          </w:tcPr>
          <w:p w14:paraId="6543B800" w14:textId="77777777" w:rsidR="00941823" w:rsidRPr="00032CF3" w:rsidRDefault="00941823" w:rsidP="00C929BD">
            <w:pPr>
              <w:rPr>
                <w:rFonts w:cs="Arial"/>
                <w:szCs w:val="24"/>
              </w:rPr>
            </w:pPr>
            <w:r w:rsidRPr="00032CF3">
              <w:rPr>
                <w:rFonts w:cs="Arial"/>
                <w:szCs w:val="24"/>
              </w:rPr>
              <w:t>Secondary uses</w:t>
            </w:r>
          </w:p>
        </w:tc>
        <w:tc>
          <w:tcPr>
            <w:tcW w:w="6807" w:type="dxa"/>
          </w:tcPr>
          <w:p w14:paraId="71F6D37B" w14:textId="77777777" w:rsidR="00941823" w:rsidRPr="00032CF3" w:rsidRDefault="00941823" w:rsidP="00C929BD">
            <w:pPr>
              <w:rPr>
                <w:rFonts w:cs="Arial"/>
                <w:color w:val="FF0000"/>
                <w:szCs w:val="24"/>
              </w:rPr>
            </w:pPr>
            <w:r w:rsidRPr="00032CF3">
              <w:rPr>
                <w:rFonts w:cs="Arial"/>
                <w:szCs w:val="24"/>
              </w:rPr>
              <w:t xml:space="preserve">This includes activities that contribute to the overall provision of services to a population as a whole or a group of patients with a particular condition. It also covers health services management, preventative medicine, and medical research. </w:t>
            </w:r>
          </w:p>
        </w:tc>
      </w:tr>
      <w:tr w:rsidR="00941823" w:rsidRPr="00032CF3" w14:paraId="490926CB" w14:textId="77777777" w:rsidTr="00C929BD">
        <w:tc>
          <w:tcPr>
            <w:tcW w:w="3253" w:type="dxa"/>
            <w:vAlign w:val="center"/>
          </w:tcPr>
          <w:p w14:paraId="3DBAA2AA" w14:textId="77777777" w:rsidR="00941823" w:rsidRPr="00032CF3" w:rsidRDefault="00941823" w:rsidP="00C929BD">
            <w:pPr>
              <w:rPr>
                <w:rFonts w:cs="Arial"/>
                <w:szCs w:val="24"/>
              </w:rPr>
            </w:pPr>
            <w:r w:rsidRPr="00032CF3">
              <w:rPr>
                <w:rFonts w:cs="Arial"/>
                <w:szCs w:val="24"/>
              </w:rPr>
              <w:t>Secondary Use Data Governance Tool (SUDGT)</w:t>
            </w:r>
          </w:p>
        </w:tc>
        <w:tc>
          <w:tcPr>
            <w:tcW w:w="6807" w:type="dxa"/>
          </w:tcPr>
          <w:p w14:paraId="3BFF37B6" w14:textId="77777777" w:rsidR="00941823" w:rsidRPr="00032CF3" w:rsidRDefault="00941823" w:rsidP="00C929BD">
            <w:pPr>
              <w:rPr>
                <w:rFonts w:cs="Arial"/>
                <w:szCs w:val="24"/>
              </w:rPr>
            </w:pPr>
            <w:r w:rsidRPr="00032CF3">
              <w:rPr>
                <w:rFonts w:cs="Arial"/>
                <w:szCs w:val="24"/>
              </w:rPr>
              <w:t xml:space="preserve">A tool developed by NHS England to support Sustainable Transformation Partnerships/Integrated Care Systems to implement robust governance processes to support their uses of data, focused on data for secondary purposes. </w:t>
            </w:r>
          </w:p>
        </w:tc>
      </w:tr>
      <w:tr w:rsidR="00941823" w:rsidRPr="00032CF3" w14:paraId="1D72AA80" w14:textId="77777777" w:rsidTr="00C929BD">
        <w:tc>
          <w:tcPr>
            <w:tcW w:w="3253" w:type="dxa"/>
            <w:vAlign w:val="center"/>
          </w:tcPr>
          <w:p w14:paraId="7F22263D" w14:textId="77777777" w:rsidR="00941823" w:rsidRPr="00032CF3" w:rsidRDefault="00941823" w:rsidP="00C929BD">
            <w:pPr>
              <w:rPr>
                <w:rFonts w:cs="Arial"/>
                <w:szCs w:val="24"/>
              </w:rPr>
            </w:pPr>
            <w:r w:rsidRPr="00032CF3">
              <w:rPr>
                <w:rFonts w:cs="Arial"/>
                <w:szCs w:val="24"/>
              </w:rPr>
              <w:t>Service level agreement (SLA)</w:t>
            </w:r>
          </w:p>
        </w:tc>
        <w:tc>
          <w:tcPr>
            <w:tcW w:w="6807" w:type="dxa"/>
          </w:tcPr>
          <w:p w14:paraId="5C21F2F6" w14:textId="77777777" w:rsidR="00941823" w:rsidRPr="00032CF3" w:rsidRDefault="00941823" w:rsidP="00C929BD">
            <w:pPr>
              <w:rPr>
                <w:rFonts w:cs="Arial"/>
                <w:szCs w:val="24"/>
              </w:rPr>
            </w:pPr>
            <w:r w:rsidRPr="00032CF3">
              <w:rPr>
                <w:rFonts w:cs="Arial"/>
                <w:szCs w:val="24"/>
              </w:rPr>
              <w:t xml:space="preserve">An agreement negotiated between two parties where one is the customer and the other the service provider.  The Service Level Agreement records a common understanding about services, priorities, responsibilities, guarantees and warranties.  Service Level Agreements can be binding contracts but are often used by public sector bodies to set out their relationship in a given project without the intention to create legal relations. </w:t>
            </w:r>
          </w:p>
        </w:tc>
      </w:tr>
      <w:tr w:rsidR="00941823" w:rsidRPr="00032CF3" w14:paraId="6B01A2C7" w14:textId="77777777" w:rsidTr="00C929BD">
        <w:tc>
          <w:tcPr>
            <w:tcW w:w="3253" w:type="dxa"/>
            <w:vAlign w:val="center"/>
          </w:tcPr>
          <w:p w14:paraId="5303AFE3" w14:textId="77777777" w:rsidR="00941823" w:rsidRPr="00032CF3" w:rsidRDefault="00941823" w:rsidP="00C929BD">
            <w:pPr>
              <w:rPr>
                <w:rFonts w:cs="Arial"/>
                <w:szCs w:val="24"/>
              </w:rPr>
            </w:pPr>
            <w:r w:rsidRPr="00032CF3">
              <w:rPr>
                <w:rFonts w:cs="Arial"/>
                <w:szCs w:val="24"/>
              </w:rPr>
              <w:t>Special category data</w:t>
            </w:r>
          </w:p>
        </w:tc>
        <w:tc>
          <w:tcPr>
            <w:tcW w:w="6807" w:type="dxa"/>
          </w:tcPr>
          <w:p w14:paraId="4F7F8AEE" w14:textId="77777777" w:rsidR="00941823" w:rsidRPr="00032CF3" w:rsidRDefault="00941823" w:rsidP="00C929BD">
            <w:pPr>
              <w:rPr>
                <w:rFonts w:cs="Arial"/>
                <w:szCs w:val="24"/>
              </w:rPr>
            </w:pPr>
            <w:r w:rsidRPr="00032CF3">
              <w:rPr>
                <w:rFonts w:cs="Arial"/>
                <w:szCs w:val="24"/>
              </w:rPr>
              <w:t>Personal data which the GDPR says is more sensitive, and so needs more protection. Such data includes health, genetic, biometric data.</w:t>
            </w:r>
          </w:p>
        </w:tc>
      </w:tr>
      <w:tr w:rsidR="00941823" w:rsidRPr="00032CF3" w14:paraId="4998C972" w14:textId="77777777" w:rsidTr="00C929BD">
        <w:tc>
          <w:tcPr>
            <w:tcW w:w="3253" w:type="dxa"/>
            <w:vAlign w:val="center"/>
          </w:tcPr>
          <w:p w14:paraId="38CE8FB9" w14:textId="77777777" w:rsidR="00941823" w:rsidRPr="00032CF3" w:rsidRDefault="00941823" w:rsidP="00C929BD">
            <w:pPr>
              <w:rPr>
                <w:rFonts w:cs="Arial"/>
                <w:szCs w:val="24"/>
              </w:rPr>
            </w:pPr>
            <w:r w:rsidRPr="00032CF3">
              <w:rPr>
                <w:rFonts w:cs="Arial"/>
                <w:szCs w:val="24"/>
              </w:rPr>
              <w:t>Statutory functions</w:t>
            </w:r>
          </w:p>
        </w:tc>
        <w:tc>
          <w:tcPr>
            <w:tcW w:w="6807" w:type="dxa"/>
          </w:tcPr>
          <w:p w14:paraId="676C878B" w14:textId="77777777" w:rsidR="00941823" w:rsidRPr="00032CF3" w:rsidRDefault="00941823" w:rsidP="00C929BD">
            <w:pPr>
              <w:rPr>
                <w:rFonts w:cs="Arial"/>
                <w:szCs w:val="24"/>
              </w:rPr>
            </w:pPr>
            <w:r w:rsidRPr="00032CF3">
              <w:rPr>
                <w:rFonts w:cs="Arial"/>
                <w:szCs w:val="24"/>
              </w:rPr>
              <w:t xml:space="preserve">These functions that an organisation is legally required to do as set out in Acts of Parliament. </w:t>
            </w:r>
          </w:p>
        </w:tc>
      </w:tr>
      <w:tr w:rsidR="00941823" w:rsidRPr="00032CF3" w14:paraId="25ED65E0" w14:textId="77777777" w:rsidTr="00C929BD">
        <w:tc>
          <w:tcPr>
            <w:tcW w:w="3253" w:type="dxa"/>
            <w:vAlign w:val="center"/>
          </w:tcPr>
          <w:p w14:paraId="0574EE1D" w14:textId="77777777" w:rsidR="00941823" w:rsidRPr="00032CF3" w:rsidRDefault="00941823" w:rsidP="00C929BD">
            <w:pPr>
              <w:rPr>
                <w:rFonts w:cs="Arial"/>
                <w:szCs w:val="24"/>
              </w:rPr>
            </w:pPr>
            <w:r w:rsidRPr="00032CF3">
              <w:rPr>
                <w:rFonts w:cs="Arial"/>
                <w:szCs w:val="24"/>
              </w:rPr>
              <w:t>Subject access request (SAR)</w:t>
            </w:r>
          </w:p>
        </w:tc>
        <w:tc>
          <w:tcPr>
            <w:tcW w:w="6807" w:type="dxa"/>
          </w:tcPr>
          <w:p w14:paraId="71DF7DE3" w14:textId="77777777" w:rsidR="00941823" w:rsidRPr="00032CF3" w:rsidRDefault="00941823" w:rsidP="00C929BD">
            <w:pPr>
              <w:rPr>
                <w:rFonts w:cs="Arial"/>
                <w:szCs w:val="24"/>
              </w:rPr>
            </w:pPr>
            <w:r w:rsidRPr="00032CF3">
              <w:rPr>
                <w:rFonts w:cs="Arial"/>
                <w:szCs w:val="24"/>
              </w:rPr>
              <w:t xml:space="preserve">Under GDPR Individuals have a right of access their personal data.  This commonly referred to as a subject access request.  </w:t>
            </w:r>
          </w:p>
        </w:tc>
      </w:tr>
      <w:tr w:rsidR="00941823" w:rsidRPr="00032CF3" w14:paraId="10B4CCBF" w14:textId="77777777" w:rsidTr="00C929BD">
        <w:tc>
          <w:tcPr>
            <w:tcW w:w="3253" w:type="dxa"/>
            <w:vAlign w:val="center"/>
          </w:tcPr>
          <w:p w14:paraId="1F6A1852" w14:textId="77777777" w:rsidR="00941823" w:rsidRPr="00032CF3" w:rsidRDefault="00941823" w:rsidP="00C929BD">
            <w:pPr>
              <w:rPr>
                <w:rFonts w:cs="Arial"/>
                <w:szCs w:val="24"/>
              </w:rPr>
            </w:pPr>
            <w:r w:rsidRPr="00032CF3">
              <w:rPr>
                <w:rFonts w:cs="Arial"/>
                <w:szCs w:val="24"/>
              </w:rPr>
              <w:t>Third party</w:t>
            </w:r>
          </w:p>
        </w:tc>
        <w:tc>
          <w:tcPr>
            <w:tcW w:w="6807" w:type="dxa"/>
          </w:tcPr>
          <w:p w14:paraId="4433C261" w14:textId="77777777" w:rsidR="00941823" w:rsidRPr="00032CF3" w:rsidRDefault="00941823" w:rsidP="00C929BD">
            <w:pPr>
              <w:rPr>
                <w:rFonts w:cs="Arial"/>
                <w:szCs w:val="24"/>
              </w:rPr>
            </w:pPr>
            <w:r w:rsidRPr="00032CF3">
              <w:rPr>
                <w:rFonts w:cs="Arial"/>
                <w:szCs w:val="24"/>
              </w:rPr>
              <w:t xml:space="preserve">A natural or legal person, public authority, agency or body other than the data subject, controller, processor and persons who, under the direct authority of the controller or processor, are authorised to process data. </w:t>
            </w:r>
          </w:p>
        </w:tc>
      </w:tr>
      <w:tr w:rsidR="00941823" w:rsidRPr="00032CF3" w14:paraId="4EECE0CA" w14:textId="77777777" w:rsidTr="00C929BD">
        <w:tc>
          <w:tcPr>
            <w:tcW w:w="3253" w:type="dxa"/>
            <w:vAlign w:val="center"/>
          </w:tcPr>
          <w:p w14:paraId="031F7622" w14:textId="77777777" w:rsidR="00941823" w:rsidRPr="00032CF3" w:rsidRDefault="00941823" w:rsidP="00C929BD">
            <w:pPr>
              <w:rPr>
                <w:rFonts w:cs="Arial"/>
                <w:szCs w:val="24"/>
              </w:rPr>
            </w:pPr>
            <w:r w:rsidRPr="00032CF3">
              <w:rPr>
                <w:rFonts w:cs="Arial"/>
                <w:szCs w:val="24"/>
              </w:rPr>
              <w:t>Threat</w:t>
            </w:r>
          </w:p>
        </w:tc>
        <w:tc>
          <w:tcPr>
            <w:tcW w:w="6807" w:type="dxa"/>
          </w:tcPr>
          <w:p w14:paraId="6903B969" w14:textId="77777777" w:rsidR="00941823" w:rsidRPr="00032CF3" w:rsidRDefault="00941823" w:rsidP="00C929BD">
            <w:pPr>
              <w:rPr>
                <w:rFonts w:cs="Arial"/>
                <w:szCs w:val="24"/>
              </w:rPr>
            </w:pPr>
            <w:r w:rsidRPr="00032CF3">
              <w:rPr>
                <w:rFonts w:cs="Arial"/>
                <w:szCs w:val="24"/>
              </w:rPr>
              <w:t>Any circumstance or event with the potential to adversely impact an asset through authorised access, destruction, disclosure, modification of data and/or denial of service.</w:t>
            </w:r>
          </w:p>
        </w:tc>
      </w:tr>
      <w:tr w:rsidR="00941823" w:rsidRPr="00032CF3" w14:paraId="7B463A08" w14:textId="77777777" w:rsidTr="00C929BD">
        <w:tc>
          <w:tcPr>
            <w:tcW w:w="3253" w:type="dxa"/>
            <w:vAlign w:val="center"/>
          </w:tcPr>
          <w:p w14:paraId="70788896" w14:textId="77777777" w:rsidR="00941823" w:rsidRPr="00032CF3" w:rsidRDefault="00941823" w:rsidP="00C929BD">
            <w:pPr>
              <w:rPr>
                <w:rFonts w:cs="Arial"/>
                <w:szCs w:val="24"/>
              </w:rPr>
            </w:pPr>
            <w:r w:rsidRPr="00032CF3">
              <w:rPr>
                <w:rFonts w:cs="Arial"/>
                <w:szCs w:val="24"/>
              </w:rPr>
              <w:t>Vital interests</w:t>
            </w:r>
          </w:p>
        </w:tc>
        <w:tc>
          <w:tcPr>
            <w:tcW w:w="6807" w:type="dxa"/>
          </w:tcPr>
          <w:p w14:paraId="5B1CCF36" w14:textId="77777777" w:rsidR="00941823" w:rsidRPr="00032CF3" w:rsidRDefault="00941823" w:rsidP="00C929BD">
            <w:pPr>
              <w:rPr>
                <w:rFonts w:cs="Arial"/>
                <w:szCs w:val="24"/>
              </w:rPr>
            </w:pPr>
            <w:r w:rsidRPr="00032CF3">
              <w:rPr>
                <w:rFonts w:cs="Arial"/>
                <w:szCs w:val="24"/>
              </w:rPr>
              <w:t xml:space="preserve">Necessary to protect an interest which is essential for the life of the data subject or that of another natural person.  </w:t>
            </w:r>
          </w:p>
        </w:tc>
      </w:tr>
      <w:bookmarkEnd w:id="65"/>
    </w:tbl>
    <w:p w14:paraId="502D48EE" w14:textId="77777777" w:rsidR="008C24A7" w:rsidRDefault="008C24A7">
      <w:pPr>
        <w:spacing w:before="0" w:after="160" w:line="259" w:lineRule="auto"/>
        <w:rPr>
          <w:rFonts w:eastAsiaTheme="majorEastAsia" w:cs="Arial"/>
          <w:b/>
          <w:bCs w:val="0"/>
          <w:color w:val="7C2855"/>
          <w:sz w:val="28"/>
          <w:szCs w:val="24"/>
        </w:rPr>
      </w:pPr>
      <w:r>
        <w:rPr>
          <w:rFonts w:cs="Arial"/>
          <w:szCs w:val="24"/>
        </w:rPr>
        <w:br w:type="page"/>
      </w:r>
    </w:p>
    <w:p w14:paraId="7453AE65" w14:textId="77777777" w:rsidR="004F2045" w:rsidRPr="00032CF3" w:rsidRDefault="004F2045" w:rsidP="004F2045">
      <w:pPr>
        <w:pStyle w:val="Heading2"/>
        <w:rPr>
          <w:rFonts w:cs="Arial"/>
          <w:szCs w:val="24"/>
        </w:rPr>
      </w:pPr>
      <w:bookmarkStart w:id="66" w:name="_Toc10223080"/>
      <w:r w:rsidRPr="00032CF3">
        <w:rPr>
          <w:rFonts w:cs="Arial"/>
          <w:szCs w:val="24"/>
        </w:rPr>
        <w:lastRenderedPageBreak/>
        <w:t xml:space="preserve">Appendix </w:t>
      </w:r>
      <w:r w:rsidR="000F405E" w:rsidRPr="00032CF3">
        <w:rPr>
          <w:rFonts w:cs="Arial"/>
          <w:szCs w:val="24"/>
        </w:rPr>
        <w:t>B</w:t>
      </w:r>
      <w:r w:rsidRPr="00032CF3">
        <w:rPr>
          <w:rFonts w:cs="Arial"/>
          <w:szCs w:val="24"/>
        </w:rPr>
        <w:t xml:space="preserve"> – Using Health Data</w:t>
      </w:r>
      <w:bookmarkEnd w:id="66"/>
    </w:p>
    <w:p w14:paraId="49565406" w14:textId="77777777" w:rsidR="004F2045" w:rsidRPr="00032CF3" w:rsidRDefault="004F2045" w:rsidP="004F2045">
      <w:pPr>
        <w:spacing w:before="0" w:after="0" w:line="276" w:lineRule="auto"/>
        <w:jc w:val="both"/>
        <w:rPr>
          <w:rFonts w:cs="Arial"/>
          <w:szCs w:val="24"/>
        </w:rPr>
      </w:pPr>
      <w:r w:rsidRPr="00032CF3">
        <w:rPr>
          <w:rFonts w:cs="Arial"/>
          <w:b/>
          <w:szCs w:val="24"/>
        </w:rPr>
        <w:t xml:space="preserve">The new General Data </w:t>
      </w:r>
      <w:r w:rsidR="00AB751E" w:rsidRPr="00032CF3">
        <w:rPr>
          <w:rFonts w:cs="Arial"/>
          <w:b/>
          <w:szCs w:val="24"/>
        </w:rPr>
        <w:t>Protection Regulation (GDPR) recital 4 states that:</w:t>
      </w:r>
    </w:p>
    <w:p w14:paraId="0FE2436C" w14:textId="77777777" w:rsidR="004F2045" w:rsidRPr="00032CF3" w:rsidRDefault="004F2045" w:rsidP="004F2045">
      <w:pPr>
        <w:spacing w:before="0" w:after="0" w:line="276" w:lineRule="auto"/>
        <w:jc w:val="both"/>
        <w:rPr>
          <w:rFonts w:cs="Arial"/>
          <w:bCs w:val="0"/>
          <w:i/>
          <w:szCs w:val="24"/>
        </w:rPr>
      </w:pPr>
      <w:r w:rsidRPr="00032CF3">
        <w:rPr>
          <w:rFonts w:cs="Arial"/>
          <w:i/>
          <w:szCs w:val="24"/>
        </w:rPr>
        <w:t>The processing of personal data should be designed to serve mankind. The right to the protection of personal data is not an absolute right; it must be considered in relation to its function in society and balanced against other fundamental rights, in accordance with the principle of proportionality.</w:t>
      </w:r>
    </w:p>
    <w:p w14:paraId="76414685" w14:textId="77777777" w:rsidR="004F2045" w:rsidRPr="00032CF3" w:rsidRDefault="004F2045" w:rsidP="004F2045">
      <w:pPr>
        <w:spacing w:before="0" w:after="0" w:line="276" w:lineRule="auto"/>
        <w:jc w:val="both"/>
        <w:rPr>
          <w:rFonts w:cs="Arial"/>
          <w:bCs w:val="0"/>
          <w:szCs w:val="24"/>
        </w:rPr>
      </w:pPr>
    </w:p>
    <w:p w14:paraId="413B56AD" w14:textId="77777777" w:rsidR="004F2045" w:rsidRPr="00032CF3" w:rsidRDefault="00AB751E" w:rsidP="004F2045">
      <w:pPr>
        <w:spacing w:before="0" w:after="0" w:line="276" w:lineRule="auto"/>
        <w:jc w:val="both"/>
        <w:rPr>
          <w:rFonts w:cs="Arial"/>
          <w:bCs w:val="0"/>
          <w:szCs w:val="24"/>
        </w:rPr>
      </w:pPr>
      <w:r w:rsidRPr="00032CF3">
        <w:rPr>
          <w:rFonts w:cs="Arial"/>
          <w:szCs w:val="24"/>
        </w:rPr>
        <w:t xml:space="preserve">Recital 53 </w:t>
      </w:r>
      <w:r w:rsidR="004F2045" w:rsidRPr="00032CF3">
        <w:rPr>
          <w:rFonts w:cs="Arial"/>
          <w:szCs w:val="24"/>
        </w:rPr>
        <w:t>provides a broad definition of health and care purposes;</w:t>
      </w:r>
    </w:p>
    <w:p w14:paraId="1C78F627" w14:textId="77777777" w:rsidR="004F2045" w:rsidRPr="00032CF3" w:rsidRDefault="004F2045" w:rsidP="004F2045">
      <w:pPr>
        <w:spacing w:before="0" w:after="0" w:line="276" w:lineRule="auto"/>
        <w:jc w:val="both"/>
        <w:rPr>
          <w:rFonts w:cs="Arial"/>
          <w:bCs w:val="0"/>
          <w:i/>
          <w:szCs w:val="24"/>
        </w:rPr>
      </w:pPr>
      <w:r w:rsidRPr="00032CF3">
        <w:rPr>
          <w:rFonts w:cs="Arial"/>
          <w:i/>
          <w:szCs w:val="24"/>
        </w:rPr>
        <w:t>Special categories of personal data which merit higher protection should be processed for health-related purposes only where necessary to achieve those purposes for the benefit of natural persons and society as a whole, in particular in the context of the management of health or social care services and systems, including processing by the management and central national health authorities of such data for the purpose of quality control, management information and the general national and local supervision of the health or social care system, and ensuring continuity of health or social care and cross-border healthcare or health security, monitoring and alert purposes, or for archiving purposes in the public interest, scientific or historical research purposes or statistical purposes, based on Union or Member State law which has to meet an objective of public interest, as well as for studies conducted in the public interest in the area of public health.</w:t>
      </w:r>
    </w:p>
    <w:p w14:paraId="6787FEB2" w14:textId="77777777" w:rsidR="004F2045" w:rsidRPr="00032CF3" w:rsidRDefault="004F2045" w:rsidP="004F2045">
      <w:pPr>
        <w:spacing w:before="0" w:after="0" w:line="276" w:lineRule="auto"/>
        <w:jc w:val="both"/>
        <w:rPr>
          <w:rFonts w:cs="Arial"/>
          <w:bCs w:val="0"/>
          <w:szCs w:val="24"/>
        </w:rPr>
      </w:pPr>
    </w:p>
    <w:p w14:paraId="6742EC45" w14:textId="77777777" w:rsidR="004F2045" w:rsidRPr="00490203" w:rsidRDefault="004F2045" w:rsidP="004F2045">
      <w:pPr>
        <w:spacing w:before="0" w:after="0" w:line="276" w:lineRule="auto"/>
        <w:jc w:val="both"/>
        <w:rPr>
          <w:rFonts w:cs="Arial"/>
          <w:b/>
          <w:szCs w:val="24"/>
        </w:rPr>
      </w:pPr>
      <w:r w:rsidRPr="00490203">
        <w:rPr>
          <w:rFonts w:cs="Arial"/>
          <w:b/>
          <w:szCs w:val="24"/>
        </w:rPr>
        <w:t xml:space="preserve">The ‘Information: To share or not to share?’ </w:t>
      </w:r>
      <w:r w:rsidR="005A6C72" w:rsidRPr="00490203">
        <w:rPr>
          <w:rFonts w:cs="Arial"/>
          <w:b/>
          <w:szCs w:val="24"/>
        </w:rPr>
        <w:t xml:space="preserve">Information Governance </w:t>
      </w:r>
      <w:r w:rsidRPr="00490203">
        <w:rPr>
          <w:rFonts w:cs="Arial"/>
          <w:b/>
          <w:szCs w:val="24"/>
        </w:rPr>
        <w:t>Review in 2013 stated that;</w:t>
      </w:r>
    </w:p>
    <w:p w14:paraId="0D6F0BB4" w14:textId="77777777" w:rsidR="005A3136" w:rsidRPr="00032CF3" w:rsidRDefault="005A3136" w:rsidP="004F2045">
      <w:pPr>
        <w:spacing w:before="0" w:after="0" w:line="276" w:lineRule="auto"/>
        <w:jc w:val="both"/>
        <w:rPr>
          <w:rFonts w:cs="Arial"/>
          <w:bCs w:val="0"/>
          <w:szCs w:val="24"/>
        </w:rPr>
      </w:pPr>
    </w:p>
    <w:p w14:paraId="7820BCCC" w14:textId="77777777" w:rsidR="004F2045" w:rsidRPr="00032CF3" w:rsidRDefault="004F2045" w:rsidP="004F2045">
      <w:pPr>
        <w:spacing w:before="0" w:after="0" w:line="276" w:lineRule="auto"/>
        <w:jc w:val="both"/>
        <w:rPr>
          <w:rFonts w:cs="Arial"/>
          <w:bCs w:val="0"/>
          <w:szCs w:val="24"/>
        </w:rPr>
      </w:pPr>
      <w:r w:rsidRPr="00032CF3">
        <w:rPr>
          <w:rFonts w:cs="Arial"/>
          <w:i/>
          <w:szCs w:val="24"/>
        </w:rPr>
        <w:t xml:space="preserve">People using health and social care services are entitled to expect that their personal information will remain confidential. They must feel able to discuss sensitive matters with a doctor, nurse or social worker without fear that the information may be improperly disclosed. These services cannot work effectively without trust and trust depends on confidentiality. </w:t>
      </w:r>
    </w:p>
    <w:p w14:paraId="1AF7D818" w14:textId="77777777" w:rsidR="004F2045" w:rsidRPr="00032CF3" w:rsidRDefault="004F2045" w:rsidP="004F2045">
      <w:pPr>
        <w:spacing w:before="0" w:after="0" w:line="276" w:lineRule="auto"/>
        <w:jc w:val="both"/>
        <w:rPr>
          <w:rFonts w:cs="Arial"/>
          <w:bCs w:val="0"/>
          <w:i/>
          <w:szCs w:val="24"/>
        </w:rPr>
      </w:pPr>
    </w:p>
    <w:p w14:paraId="3129DF78" w14:textId="77777777" w:rsidR="004F2045" w:rsidRPr="002D5E3B" w:rsidRDefault="004F2045" w:rsidP="003A152C">
      <w:pPr>
        <w:spacing w:before="0" w:after="0" w:line="276" w:lineRule="auto"/>
        <w:jc w:val="both"/>
        <w:rPr>
          <w:rFonts w:cs="Arial"/>
          <w:bCs w:val="0"/>
          <w:i/>
          <w:szCs w:val="24"/>
        </w:rPr>
      </w:pPr>
      <w:r w:rsidRPr="00032CF3">
        <w:rPr>
          <w:rFonts w:cs="Arial"/>
          <w:i/>
          <w:szCs w:val="24"/>
        </w:rPr>
        <w:t>However, people also expect professionals to share information with other members of the care team, who need to co-operate to provide a seamless, integrated service. So good sharing of information, when sharing is appropriate, is as important as maintaining confidentiality. All organisations providing health or social care services must succeed in both respects if they are not to fail the people that they exist to serve.</w:t>
      </w:r>
    </w:p>
    <w:p w14:paraId="2E6ED4C3" w14:textId="77777777" w:rsidR="004F2045" w:rsidRPr="00032CF3" w:rsidRDefault="004F2045" w:rsidP="004F2045">
      <w:pPr>
        <w:spacing w:before="0" w:after="0" w:line="276" w:lineRule="auto"/>
        <w:jc w:val="both"/>
        <w:rPr>
          <w:rFonts w:cs="Arial"/>
          <w:bCs w:val="0"/>
          <w:szCs w:val="24"/>
        </w:rPr>
      </w:pPr>
    </w:p>
    <w:p w14:paraId="6CE51255" w14:textId="77777777" w:rsidR="00AB751E" w:rsidRDefault="00AB751E" w:rsidP="00AB751E">
      <w:pPr>
        <w:spacing w:before="0" w:after="0" w:line="276" w:lineRule="auto"/>
        <w:jc w:val="both"/>
        <w:rPr>
          <w:rFonts w:cs="Arial"/>
          <w:szCs w:val="24"/>
        </w:rPr>
      </w:pPr>
      <w:r w:rsidRPr="00032CF3">
        <w:rPr>
          <w:rFonts w:cs="Arial"/>
          <w:szCs w:val="24"/>
        </w:rPr>
        <w:t>This led to the creation of a new Caldicott Principle;</w:t>
      </w:r>
    </w:p>
    <w:p w14:paraId="2AFD2A63" w14:textId="77777777" w:rsidR="005A3136" w:rsidRPr="00032CF3" w:rsidRDefault="005A3136" w:rsidP="00AB751E">
      <w:pPr>
        <w:spacing w:before="0" w:after="0" w:line="276" w:lineRule="auto"/>
        <w:jc w:val="both"/>
        <w:rPr>
          <w:rFonts w:cs="Arial"/>
          <w:bCs w:val="0"/>
          <w:szCs w:val="24"/>
        </w:rPr>
      </w:pPr>
    </w:p>
    <w:p w14:paraId="4D4FD3D5" w14:textId="77777777" w:rsidR="004F2045" w:rsidRDefault="004F2045" w:rsidP="004F2045">
      <w:pPr>
        <w:spacing w:before="0" w:after="0" w:line="276" w:lineRule="auto"/>
        <w:jc w:val="both"/>
        <w:rPr>
          <w:rFonts w:cs="Arial"/>
          <w:i/>
          <w:szCs w:val="24"/>
        </w:rPr>
      </w:pPr>
      <w:r w:rsidRPr="00032CF3">
        <w:rPr>
          <w:rFonts w:cs="Arial"/>
          <w:i/>
          <w:szCs w:val="24"/>
        </w:rPr>
        <w:t>7. The duty to share information can be as important as the duty to protect patient confidentiality</w:t>
      </w:r>
    </w:p>
    <w:p w14:paraId="0A7E713E" w14:textId="77777777" w:rsidR="005A3136" w:rsidRPr="00032CF3" w:rsidRDefault="005A3136" w:rsidP="004F2045">
      <w:pPr>
        <w:spacing w:before="0" w:after="0" w:line="276" w:lineRule="auto"/>
        <w:jc w:val="both"/>
        <w:rPr>
          <w:rFonts w:cs="Arial"/>
          <w:bCs w:val="0"/>
          <w:i/>
          <w:szCs w:val="24"/>
        </w:rPr>
      </w:pPr>
    </w:p>
    <w:p w14:paraId="2FCB095A" w14:textId="77777777" w:rsidR="00E7198B" w:rsidRPr="00032CF3" w:rsidRDefault="00E7198B" w:rsidP="00E7198B">
      <w:pPr>
        <w:spacing w:before="0" w:after="0" w:line="276" w:lineRule="auto"/>
        <w:jc w:val="both"/>
        <w:rPr>
          <w:rFonts w:cs="Arial"/>
          <w:bCs w:val="0"/>
          <w:i/>
          <w:szCs w:val="24"/>
        </w:rPr>
      </w:pPr>
      <w:r w:rsidRPr="00032CF3">
        <w:rPr>
          <w:rFonts w:cs="Arial"/>
          <w:i/>
          <w:szCs w:val="24"/>
        </w:rPr>
        <w:t>Health and social care professionals should have the confidence to share information in the best interests of their patients within the framework set out by these principles. They should be supported by the policies of their employers, regulators and professional bodies.</w:t>
      </w:r>
    </w:p>
    <w:p w14:paraId="1B329385" w14:textId="77777777" w:rsidR="004F2045" w:rsidRPr="00032CF3" w:rsidRDefault="004F2045" w:rsidP="004F2045">
      <w:pPr>
        <w:keepNext/>
        <w:keepLines/>
        <w:spacing w:before="0" w:after="0" w:line="276" w:lineRule="auto"/>
        <w:jc w:val="both"/>
        <w:outlineLvl w:val="1"/>
        <w:rPr>
          <w:rFonts w:eastAsia="MS Gothic" w:cs="Arial"/>
          <w:b/>
          <w:color w:val="000000"/>
          <w:szCs w:val="24"/>
          <w:u w:val="single"/>
        </w:rPr>
      </w:pPr>
    </w:p>
    <w:p w14:paraId="7E521647" w14:textId="77777777" w:rsidR="00B34D90" w:rsidRPr="00032CF3" w:rsidRDefault="00B34D90" w:rsidP="00B34D90">
      <w:pPr>
        <w:spacing w:before="0" w:after="0" w:line="276" w:lineRule="auto"/>
        <w:jc w:val="both"/>
        <w:rPr>
          <w:rFonts w:cs="Arial"/>
          <w:bCs w:val="0"/>
          <w:color w:val="000000"/>
          <w:szCs w:val="24"/>
        </w:rPr>
      </w:pPr>
      <w:r w:rsidRPr="00032CF3">
        <w:rPr>
          <w:rFonts w:cs="Arial"/>
          <w:color w:val="000000"/>
          <w:szCs w:val="24"/>
        </w:rPr>
        <w:t>The Health and Social Care (Safety and Quality) Act 2015</w:t>
      </w:r>
      <w:hyperlink r:id="rId30" w:history="1">
        <w:r w:rsidRPr="00032CF3">
          <w:rPr>
            <w:rFonts w:cs="Arial"/>
            <w:color w:val="000000"/>
            <w:szCs w:val="24"/>
          </w:rPr>
          <w:t xml:space="preserve"> (Duty to Share)</w:t>
        </w:r>
      </w:hyperlink>
      <w:r w:rsidRPr="00032CF3">
        <w:rPr>
          <w:rFonts w:cs="Arial"/>
          <w:color w:val="000000"/>
          <w:szCs w:val="24"/>
        </w:rPr>
        <w:t>:</w:t>
      </w:r>
    </w:p>
    <w:p w14:paraId="2E2D8E24" w14:textId="77777777" w:rsidR="004F2045" w:rsidRPr="00032CF3" w:rsidRDefault="004F2045" w:rsidP="004F2045">
      <w:pPr>
        <w:spacing w:before="0" w:after="0" w:line="276" w:lineRule="auto"/>
        <w:jc w:val="both"/>
        <w:rPr>
          <w:rFonts w:cs="Arial"/>
          <w:b/>
          <w:bCs w:val="0"/>
          <w:i/>
          <w:szCs w:val="24"/>
          <w:u w:val="single"/>
        </w:rPr>
      </w:pPr>
      <w:r w:rsidRPr="00032CF3">
        <w:rPr>
          <w:rFonts w:cs="Arial"/>
          <w:i/>
          <w:szCs w:val="24"/>
        </w:rPr>
        <w:t xml:space="preserve">Inserted section 251B of the Health and Social Care Act 2012 to introduce a new legal duty requiring health and adult social care bodies to share information in particular circumstances such as to facilitate care and where it is in the individual’s best interest. The precise conditions </w:t>
      </w:r>
      <w:r w:rsidRPr="00032CF3">
        <w:rPr>
          <w:rFonts w:cs="Arial"/>
          <w:i/>
          <w:szCs w:val="24"/>
        </w:rPr>
        <w:lastRenderedPageBreak/>
        <w:t>relied upon under the Data Protection Legislation will depend on whether this duty is engaged and the origin of the legal duties of the Controller.</w:t>
      </w:r>
      <w:r w:rsidR="00A571EF">
        <w:rPr>
          <w:rFonts w:cs="Arial"/>
          <w:i/>
          <w:szCs w:val="24"/>
        </w:rPr>
        <w:t xml:space="preserve"> Clinicians must take into account any reasonable patient objections raised.</w:t>
      </w:r>
    </w:p>
    <w:p w14:paraId="24B2C7BB" w14:textId="77777777" w:rsidR="004F2045" w:rsidRPr="00032CF3" w:rsidRDefault="004F2045" w:rsidP="004F2045">
      <w:pPr>
        <w:spacing w:after="0"/>
        <w:jc w:val="both"/>
        <w:rPr>
          <w:rFonts w:cs="Arial"/>
          <w:bCs w:val="0"/>
          <w:szCs w:val="24"/>
        </w:rPr>
      </w:pPr>
    </w:p>
    <w:p w14:paraId="79A523CD" w14:textId="77777777" w:rsidR="004F2045" w:rsidRPr="00032CF3" w:rsidRDefault="004F2045" w:rsidP="004F2045">
      <w:pPr>
        <w:spacing w:before="0" w:after="160" w:line="259" w:lineRule="auto"/>
        <w:rPr>
          <w:rFonts w:cs="Arial"/>
          <w:color w:val="FF0000"/>
          <w:szCs w:val="24"/>
        </w:rPr>
      </w:pPr>
      <w:r w:rsidRPr="00032CF3">
        <w:rPr>
          <w:rFonts w:cs="Arial"/>
          <w:color w:val="FF0000"/>
          <w:szCs w:val="24"/>
        </w:rPr>
        <w:br w:type="page"/>
      </w:r>
    </w:p>
    <w:p w14:paraId="4F5B6BA1" w14:textId="77777777" w:rsidR="004F2045" w:rsidRPr="00032CF3" w:rsidRDefault="004F2045" w:rsidP="004F2045">
      <w:pPr>
        <w:pStyle w:val="Heading2"/>
        <w:rPr>
          <w:rFonts w:cs="Arial"/>
          <w:szCs w:val="32"/>
        </w:rPr>
      </w:pPr>
      <w:bookmarkStart w:id="67" w:name="_Toc10223081"/>
      <w:r w:rsidRPr="00032CF3">
        <w:rPr>
          <w:rFonts w:cs="Arial"/>
          <w:szCs w:val="32"/>
        </w:rPr>
        <w:lastRenderedPageBreak/>
        <w:t xml:space="preserve">Appendix </w:t>
      </w:r>
      <w:r w:rsidR="000F405E" w:rsidRPr="00032CF3">
        <w:rPr>
          <w:rFonts w:cs="Arial"/>
          <w:szCs w:val="32"/>
        </w:rPr>
        <w:t>C</w:t>
      </w:r>
      <w:r w:rsidRPr="00032CF3">
        <w:rPr>
          <w:rFonts w:cs="Arial"/>
          <w:szCs w:val="32"/>
        </w:rPr>
        <w:t xml:space="preserve"> - Governance Process</w:t>
      </w:r>
      <w:bookmarkEnd w:id="67"/>
    </w:p>
    <w:p w14:paraId="013CD895" w14:textId="77777777" w:rsidR="004F2045" w:rsidRPr="00032CF3" w:rsidRDefault="004F2045" w:rsidP="00DF03A3">
      <w:pPr>
        <w:tabs>
          <w:tab w:val="left" w:pos="5812"/>
        </w:tabs>
        <w:spacing w:before="0" w:after="0" w:line="276" w:lineRule="auto"/>
        <w:jc w:val="both"/>
        <w:rPr>
          <w:rFonts w:cs="Arial"/>
        </w:rPr>
      </w:pPr>
      <w:r w:rsidRPr="00032CF3">
        <w:rPr>
          <w:rFonts w:cs="Arial"/>
        </w:rPr>
        <w:t>The LHCR I</w:t>
      </w:r>
      <w:r w:rsidR="005A6C72">
        <w:rPr>
          <w:rFonts w:cs="Arial"/>
        </w:rPr>
        <w:t xml:space="preserve">nformation </w:t>
      </w:r>
      <w:r w:rsidRPr="00032CF3">
        <w:rPr>
          <w:rFonts w:cs="Arial"/>
        </w:rPr>
        <w:t>G</w:t>
      </w:r>
      <w:r w:rsidR="009E1045">
        <w:rPr>
          <w:rFonts w:cs="Arial"/>
        </w:rPr>
        <w:t>over</w:t>
      </w:r>
      <w:r w:rsidR="005A6C72">
        <w:rPr>
          <w:rFonts w:cs="Arial"/>
        </w:rPr>
        <w:t>n</w:t>
      </w:r>
      <w:r w:rsidR="009E1045">
        <w:rPr>
          <w:rFonts w:cs="Arial"/>
        </w:rPr>
        <w:t>an</w:t>
      </w:r>
      <w:r w:rsidR="005A6C72">
        <w:rPr>
          <w:rFonts w:cs="Arial"/>
        </w:rPr>
        <w:t>ce</w:t>
      </w:r>
      <w:r w:rsidRPr="00032CF3">
        <w:rPr>
          <w:rFonts w:cs="Arial"/>
        </w:rPr>
        <w:t xml:space="preserve"> Framework will be developed and overseen by the </w:t>
      </w:r>
      <w:r w:rsidR="00AB751E" w:rsidRPr="00032CF3">
        <w:rPr>
          <w:rFonts w:cs="Arial"/>
        </w:rPr>
        <w:t>National LHCR Inform</w:t>
      </w:r>
      <w:r w:rsidR="00ED465D" w:rsidRPr="00032CF3">
        <w:rPr>
          <w:rFonts w:cs="Arial"/>
        </w:rPr>
        <w:t>ation Governance Steering Group</w:t>
      </w:r>
      <w:r w:rsidRPr="00032CF3">
        <w:rPr>
          <w:rFonts w:cs="Arial"/>
        </w:rPr>
        <w:t xml:space="preserve"> </w:t>
      </w:r>
      <w:r w:rsidR="00C537FE" w:rsidRPr="00032CF3">
        <w:rPr>
          <w:rFonts w:cs="Arial"/>
        </w:rPr>
        <w:t>c</w:t>
      </w:r>
      <w:r w:rsidRPr="00032CF3">
        <w:rPr>
          <w:rFonts w:cs="Arial"/>
        </w:rPr>
        <w:t xml:space="preserve">haired by NHS England as part of the LHCR programme. </w:t>
      </w:r>
    </w:p>
    <w:p w14:paraId="164D7E7C" w14:textId="77777777" w:rsidR="004F2045" w:rsidRPr="00032CF3" w:rsidRDefault="004F2045" w:rsidP="004F2045">
      <w:pPr>
        <w:spacing w:before="0" w:after="0" w:line="276" w:lineRule="auto"/>
        <w:jc w:val="both"/>
        <w:rPr>
          <w:rFonts w:cs="Arial"/>
        </w:rPr>
      </w:pPr>
    </w:p>
    <w:p w14:paraId="35FA10EC" w14:textId="77777777" w:rsidR="004F2045" w:rsidRPr="00032CF3" w:rsidRDefault="004F2045" w:rsidP="004F2045">
      <w:pPr>
        <w:spacing w:before="0" w:after="0" w:line="276" w:lineRule="auto"/>
        <w:jc w:val="both"/>
        <w:rPr>
          <w:rFonts w:cs="Arial"/>
        </w:rPr>
      </w:pPr>
      <w:r w:rsidRPr="00032CF3">
        <w:rPr>
          <w:rFonts w:cs="Arial"/>
        </w:rPr>
        <w:t xml:space="preserve">The National LHCR </w:t>
      </w:r>
      <w:r w:rsidR="005A6C72">
        <w:rPr>
          <w:rFonts w:cs="Arial"/>
        </w:rPr>
        <w:t>Information Governance</w:t>
      </w:r>
      <w:r w:rsidR="005A6C72" w:rsidRPr="00032CF3">
        <w:rPr>
          <w:rFonts w:cs="Arial"/>
        </w:rPr>
        <w:t xml:space="preserve"> </w:t>
      </w:r>
      <w:r w:rsidRPr="00032CF3">
        <w:rPr>
          <w:rFonts w:cs="Arial"/>
        </w:rPr>
        <w:t>Steering Group will report into the LHCR Programme Board.</w:t>
      </w:r>
    </w:p>
    <w:p w14:paraId="556803B7" w14:textId="77777777" w:rsidR="004F2045" w:rsidRPr="00032CF3" w:rsidRDefault="004F2045" w:rsidP="004F2045">
      <w:pPr>
        <w:spacing w:before="0" w:after="0" w:line="276" w:lineRule="auto"/>
        <w:jc w:val="both"/>
        <w:rPr>
          <w:rFonts w:cs="Arial"/>
        </w:rPr>
      </w:pPr>
    </w:p>
    <w:p w14:paraId="12635AB3" w14:textId="1F4E9FF3" w:rsidR="004F2045" w:rsidRPr="00032CF3" w:rsidRDefault="004F2045" w:rsidP="004F2045">
      <w:pPr>
        <w:spacing w:before="0" w:after="0" w:line="276" w:lineRule="auto"/>
        <w:jc w:val="both"/>
        <w:rPr>
          <w:rFonts w:cs="Arial"/>
        </w:rPr>
      </w:pPr>
      <w:r w:rsidRPr="00032CF3">
        <w:rPr>
          <w:rFonts w:cs="Arial"/>
        </w:rPr>
        <w:t xml:space="preserve">An </w:t>
      </w:r>
      <w:r w:rsidR="005A6C72">
        <w:rPr>
          <w:rFonts w:cs="Arial"/>
        </w:rPr>
        <w:t>Information Governance</w:t>
      </w:r>
      <w:r w:rsidR="005A6C72" w:rsidRPr="00032CF3">
        <w:rPr>
          <w:rFonts w:cs="Arial"/>
        </w:rPr>
        <w:t xml:space="preserve"> </w:t>
      </w:r>
      <w:r w:rsidRPr="00032CF3">
        <w:rPr>
          <w:rFonts w:cs="Arial"/>
        </w:rPr>
        <w:t xml:space="preserve">Assurance </w:t>
      </w:r>
      <w:r w:rsidR="00F01A6A" w:rsidRPr="00032CF3">
        <w:rPr>
          <w:rFonts w:cs="Arial"/>
        </w:rPr>
        <w:t>Panel</w:t>
      </w:r>
      <w:r w:rsidRPr="00032CF3">
        <w:rPr>
          <w:rFonts w:cs="Arial"/>
        </w:rPr>
        <w:t xml:space="preserve"> will be responsible for assessing assurance checkpoints</w:t>
      </w:r>
      <w:r w:rsidR="00F01A6A" w:rsidRPr="00032CF3">
        <w:rPr>
          <w:rFonts w:cs="Arial"/>
        </w:rPr>
        <w:t>. T</w:t>
      </w:r>
      <w:r w:rsidRPr="00032CF3">
        <w:rPr>
          <w:rFonts w:cs="Arial"/>
        </w:rPr>
        <w:t xml:space="preserve">he </w:t>
      </w:r>
      <w:r w:rsidR="00F01A6A" w:rsidRPr="00032CF3">
        <w:rPr>
          <w:rFonts w:cs="Arial"/>
        </w:rPr>
        <w:t>Panel</w:t>
      </w:r>
      <w:r w:rsidRPr="00032CF3">
        <w:rPr>
          <w:rFonts w:cs="Arial"/>
        </w:rPr>
        <w:t xml:space="preserve"> will consist of National </w:t>
      </w:r>
      <w:r w:rsidR="005A6C72">
        <w:rPr>
          <w:rFonts w:cs="Arial"/>
        </w:rPr>
        <w:t>information governance</w:t>
      </w:r>
      <w:r w:rsidRPr="00032CF3">
        <w:rPr>
          <w:rFonts w:cs="Arial"/>
        </w:rPr>
        <w:t xml:space="preserve"> </w:t>
      </w:r>
      <w:r w:rsidR="005A6C72">
        <w:rPr>
          <w:rFonts w:cs="Arial"/>
        </w:rPr>
        <w:t>s</w:t>
      </w:r>
      <w:r w:rsidRPr="00032CF3">
        <w:rPr>
          <w:rFonts w:cs="Arial"/>
        </w:rPr>
        <w:t xml:space="preserve">ubject </w:t>
      </w:r>
      <w:r w:rsidR="005A6C72">
        <w:rPr>
          <w:rFonts w:cs="Arial"/>
        </w:rPr>
        <w:t>m</w:t>
      </w:r>
      <w:r w:rsidRPr="00032CF3">
        <w:rPr>
          <w:rFonts w:cs="Arial"/>
        </w:rPr>
        <w:t xml:space="preserve">atter </w:t>
      </w:r>
      <w:r w:rsidR="009E1045">
        <w:rPr>
          <w:rFonts w:cs="Arial"/>
        </w:rPr>
        <w:t>e</w:t>
      </w:r>
      <w:r w:rsidRPr="00032CF3">
        <w:rPr>
          <w:rFonts w:cs="Arial"/>
        </w:rPr>
        <w:t>xperts (NHS England, NHS</w:t>
      </w:r>
      <w:r w:rsidR="003D11CF" w:rsidRPr="00032CF3">
        <w:rPr>
          <w:rFonts w:cs="Arial"/>
        </w:rPr>
        <w:t xml:space="preserve"> </w:t>
      </w:r>
      <w:r w:rsidRPr="00032CF3">
        <w:rPr>
          <w:rFonts w:cs="Arial"/>
        </w:rPr>
        <w:t>D</w:t>
      </w:r>
      <w:r w:rsidR="003D11CF" w:rsidRPr="00032CF3">
        <w:rPr>
          <w:rFonts w:cs="Arial"/>
        </w:rPr>
        <w:t>igital</w:t>
      </w:r>
      <w:r w:rsidRPr="00032CF3">
        <w:rPr>
          <w:rFonts w:cs="Arial"/>
        </w:rPr>
        <w:t>, NHS</w:t>
      </w:r>
      <w:r w:rsidR="003D11CF" w:rsidRPr="00032CF3">
        <w:rPr>
          <w:rFonts w:cs="Arial"/>
        </w:rPr>
        <w:t xml:space="preserve"> </w:t>
      </w:r>
      <w:r w:rsidRPr="00032CF3">
        <w:rPr>
          <w:rFonts w:cs="Arial"/>
        </w:rPr>
        <w:t>I</w:t>
      </w:r>
      <w:r w:rsidR="003D11CF" w:rsidRPr="00032CF3">
        <w:rPr>
          <w:rFonts w:cs="Arial"/>
        </w:rPr>
        <w:t>mprovement</w:t>
      </w:r>
      <w:r w:rsidRPr="00032CF3">
        <w:rPr>
          <w:rFonts w:cs="Arial"/>
        </w:rPr>
        <w:t>)</w:t>
      </w:r>
      <w:r w:rsidR="00C537FE" w:rsidRPr="00032CF3">
        <w:rPr>
          <w:rFonts w:cs="Arial"/>
        </w:rPr>
        <w:t xml:space="preserve"> and</w:t>
      </w:r>
      <w:r w:rsidRPr="00032CF3">
        <w:rPr>
          <w:rFonts w:cs="Arial"/>
        </w:rPr>
        <w:t xml:space="preserve"> it is anticipated that representatives from the National Data Guardian (NDG), </w:t>
      </w:r>
      <w:r w:rsidR="00A40D0C" w:rsidRPr="00032CF3">
        <w:rPr>
          <w:rFonts w:cs="Arial"/>
        </w:rPr>
        <w:t>Understanding Patient Data</w:t>
      </w:r>
      <w:r w:rsidR="00232E84" w:rsidRPr="00032CF3">
        <w:rPr>
          <w:rFonts w:cs="Arial"/>
        </w:rPr>
        <w:t xml:space="preserve"> (UPD)</w:t>
      </w:r>
      <w:r w:rsidR="00A40D0C" w:rsidRPr="00032CF3">
        <w:rPr>
          <w:rFonts w:cs="Arial"/>
        </w:rPr>
        <w:t>, Health Research Authority</w:t>
      </w:r>
      <w:r w:rsidR="00232E84" w:rsidRPr="00032CF3">
        <w:rPr>
          <w:rFonts w:cs="Arial"/>
        </w:rPr>
        <w:t xml:space="preserve"> (HRA), </w:t>
      </w:r>
      <w:r w:rsidR="00151F53">
        <w:rPr>
          <w:rFonts w:cs="Arial"/>
        </w:rPr>
        <w:t xml:space="preserve">UK Caldicott Guardian Council, </w:t>
      </w:r>
      <w:r w:rsidR="00232E84" w:rsidRPr="00032CF3">
        <w:rPr>
          <w:rFonts w:cs="Arial"/>
        </w:rPr>
        <w:t>clinical</w:t>
      </w:r>
      <w:r w:rsidR="007C0EB1" w:rsidRPr="00032CF3">
        <w:rPr>
          <w:rFonts w:cs="Arial"/>
        </w:rPr>
        <w:t xml:space="preserve"> representative</w:t>
      </w:r>
      <w:r w:rsidR="00232E84" w:rsidRPr="00032CF3">
        <w:rPr>
          <w:rFonts w:cs="Arial"/>
        </w:rPr>
        <w:t>, local authority</w:t>
      </w:r>
      <w:r w:rsidR="00151F53">
        <w:rPr>
          <w:rFonts w:cs="Arial"/>
        </w:rPr>
        <w:t xml:space="preserve"> /social care</w:t>
      </w:r>
      <w:r w:rsidR="00A40D0C" w:rsidRPr="00032CF3">
        <w:rPr>
          <w:rFonts w:cs="Arial"/>
        </w:rPr>
        <w:t xml:space="preserve"> </w:t>
      </w:r>
      <w:r w:rsidR="007C0EB1" w:rsidRPr="00032CF3">
        <w:rPr>
          <w:rFonts w:cs="Arial"/>
        </w:rPr>
        <w:t>representative</w:t>
      </w:r>
      <w:r w:rsidR="00151F53">
        <w:rPr>
          <w:rFonts w:cs="Arial"/>
        </w:rPr>
        <w:t>, patient representative, SIGN representative</w:t>
      </w:r>
      <w:r w:rsidR="00A40D0C" w:rsidRPr="00032CF3">
        <w:rPr>
          <w:rFonts w:cs="Arial"/>
        </w:rPr>
        <w:t>)</w:t>
      </w:r>
      <w:r w:rsidR="00BA1F88" w:rsidRPr="00032CF3">
        <w:rPr>
          <w:rFonts w:cs="Arial"/>
        </w:rPr>
        <w:t xml:space="preserve"> will also join th</w:t>
      </w:r>
      <w:r w:rsidR="00151F53">
        <w:rPr>
          <w:rFonts w:cs="Arial"/>
        </w:rPr>
        <w:t>e</w:t>
      </w:r>
      <w:r w:rsidR="00F01A6A" w:rsidRPr="00032CF3">
        <w:rPr>
          <w:rFonts w:cs="Arial"/>
        </w:rPr>
        <w:t xml:space="preserve"> Panel</w:t>
      </w:r>
      <w:r w:rsidR="00BA1F88" w:rsidRPr="00032CF3">
        <w:rPr>
          <w:rFonts w:cs="Arial"/>
        </w:rPr>
        <w:t xml:space="preserve">.  </w:t>
      </w:r>
    </w:p>
    <w:p w14:paraId="089B48FE" w14:textId="77777777" w:rsidR="004F2045" w:rsidRPr="00032CF3" w:rsidRDefault="004F2045" w:rsidP="004F2045">
      <w:pPr>
        <w:spacing w:before="0" w:after="0" w:line="276" w:lineRule="auto"/>
        <w:jc w:val="both"/>
        <w:rPr>
          <w:rFonts w:cs="Arial"/>
        </w:rPr>
      </w:pPr>
    </w:p>
    <w:p w14:paraId="484BE215" w14:textId="77777777" w:rsidR="004F2045" w:rsidRPr="00032CF3" w:rsidRDefault="004F2045" w:rsidP="004F2045">
      <w:pPr>
        <w:spacing w:before="0" w:after="0" w:line="276" w:lineRule="auto"/>
        <w:jc w:val="both"/>
        <w:rPr>
          <w:rFonts w:cs="Arial"/>
        </w:rPr>
      </w:pPr>
      <w:r w:rsidRPr="00032CF3">
        <w:rPr>
          <w:rFonts w:cs="Arial"/>
        </w:rPr>
        <w:t xml:space="preserve">The LHCR </w:t>
      </w:r>
      <w:r w:rsidR="005A6C72">
        <w:rPr>
          <w:rFonts w:cs="Arial"/>
        </w:rPr>
        <w:t>Information Governance</w:t>
      </w:r>
      <w:r w:rsidR="005A6C72" w:rsidRPr="00032CF3">
        <w:rPr>
          <w:rFonts w:cs="Arial"/>
        </w:rPr>
        <w:t xml:space="preserve"> </w:t>
      </w:r>
      <w:r w:rsidRPr="00032CF3">
        <w:rPr>
          <w:rFonts w:cs="Arial"/>
        </w:rPr>
        <w:t xml:space="preserve">leads will be in regular contact with the National LHCR </w:t>
      </w:r>
      <w:r w:rsidR="005A6C72">
        <w:rPr>
          <w:rFonts w:cs="Arial"/>
        </w:rPr>
        <w:t>Information Governance</w:t>
      </w:r>
      <w:r w:rsidR="005A6C72" w:rsidRPr="00032CF3">
        <w:rPr>
          <w:rFonts w:cs="Arial"/>
        </w:rPr>
        <w:t xml:space="preserve"> </w:t>
      </w:r>
      <w:r w:rsidRPr="00032CF3">
        <w:rPr>
          <w:rFonts w:cs="Arial"/>
        </w:rPr>
        <w:t xml:space="preserve">Steering Group to raise issues </w:t>
      </w:r>
      <w:r w:rsidR="00C537FE" w:rsidRPr="00032CF3">
        <w:rPr>
          <w:rFonts w:cs="Arial"/>
        </w:rPr>
        <w:t xml:space="preserve">or </w:t>
      </w:r>
      <w:r w:rsidRPr="00032CF3">
        <w:rPr>
          <w:rFonts w:cs="Arial"/>
        </w:rPr>
        <w:t xml:space="preserve">concerns and highlight best practice. </w:t>
      </w:r>
      <w:r w:rsidR="00C23FC8" w:rsidRPr="00032CF3">
        <w:rPr>
          <w:rFonts w:cs="Arial"/>
        </w:rPr>
        <w:t>They will meet as a group on a regular basis to discuss operation of the framework and to assist in developing tools, templates</w:t>
      </w:r>
      <w:r w:rsidR="007C0EB1" w:rsidRPr="00032CF3">
        <w:rPr>
          <w:rFonts w:cs="Arial"/>
        </w:rPr>
        <w:t>, models and share good practice.</w:t>
      </w:r>
    </w:p>
    <w:p w14:paraId="222D271B" w14:textId="77777777" w:rsidR="004F2045" w:rsidRPr="00032CF3" w:rsidRDefault="004F2045" w:rsidP="004F2045">
      <w:pPr>
        <w:spacing w:before="0" w:after="0" w:line="276" w:lineRule="auto"/>
        <w:jc w:val="both"/>
        <w:rPr>
          <w:rFonts w:cs="Arial"/>
        </w:rPr>
      </w:pPr>
    </w:p>
    <w:p w14:paraId="39420ABB" w14:textId="434C870F" w:rsidR="004F2045" w:rsidRPr="00032CF3" w:rsidRDefault="00C23FC8" w:rsidP="004F2045">
      <w:pPr>
        <w:spacing w:before="0" w:after="0" w:line="276" w:lineRule="auto"/>
        <w:jc w:val="both"/>
        <w:rPr>
          <w:rFonts w:cs="Arial"/>
        </w:rPr>
      </w:pPr>
      <w:r w:rsidRPr="00032CF3">
        <w:rPr>
          <w:rFonts w:cs="Arial"/>
        </w:rPr>
        <w:t xml:space="preserve">Every LHCR will need to gain satisfactory assurance on each checkpoint before proceeding with data sharing across the </w:t>
      </w:r>
      <w:r w:rsidR="00C15FD0">
        <w:rPr>
          <w:rFonts w:cs="Arial"/>
        </w:rPr>
        <w:t>LHCR member organisations</w:t>
      </w:r>
      <w:r w:rsidRPr="00032CF3">
        <w:rPr>
          <w:rFonts w:cs="Arial"/>
        </w:rPr>
        <w:t xml:space="preserve">. </w:t>
      </w:r>
      <w:r w:rsidR="004F2045" w:rsidRPr="00032CF3">
        <w:rPr>
          <w:rFonts w:cs="Arial"/>
        </w:rPr>
        <w:t xml:space="preserve"> Where LHCR already ha</w:t>
      </w:r>
      <w:r w:rsidR="00C537FE" w:rsidRPr="00032CF3">
        <w:rPr>
          <w:rFonts w:cs="Arial"/>
        </w:rPr>
        <w:t>s</w:t>
      </w:r>
      <w:r w:rsidR="004F2045" w:rsidRPr="00032CF3">
        <w:rPr>
          <w:rFonts w:cs="Arial"/>
        </w:rPr>
        <w:t xml:space="preserve"> a shared local health and care record in place they should use the checkpoint to ensure themselves and the assurance </w:t>
      </w:r>
      <w:r w:rsidR="00923292" w:rsidRPr="00032CF3">
        <w:rPr>
          <w:rFonts w:cs="Arial"/>
        </w:rPr>
        <w:t>panel</w:t>
      </w:r>
      <w:r w:rsidR="00243FE1" w:rsidRPr="00032CF3">
        <w:rPr>
          <w:rFonts w:cs="Arial"/>
        </w:rPr>
        <w:t xml:space="preserve"> </w:t>
      </w:r>
      <w:r w:rsidR="004F2045" w:rsidRPr="00032CF3">
        <w:rPr>
          <w:rFonts w:cs="Arial"/>
        </w:rPr>
        <w:t xml:space="preserve">that they are compliant.  In the event that satisfactory assurance cannot be met support will be provided to achieve compliance.   </w:t>
      </w:r>
    </w:p>
    <w:p w14:paraId="35A26C32" w14:textId="77777777" w:rsidR="004F2045" w:rsidRPr="00032CF3" w:rsidRDefault="004F2045" w:rsidP="004F2045">
      <w:pPr>
        <w:rPr>
          <w:rFonts w:cs="Arial"/>
          <w:sz w:val="28"/>
        </w:rPr>
      </w:pPr>
    </w:p>
    <w:p w14:paraId="331D7FD9" w14:textId="77777777" w:rsidR="004F2045" w:rsidRPr="00032CF3" w:rsidRDefault="004F2045" w:rsidP="004F2045">
      <w:pPr>
        <w:rPr>
          <w:rFonts w:cs="Arial"/>
          <w:sz w:val="28"/>
        </w:rPr>
      </w:pPr>
    </w:p>
    <w:p w14:paraId="0DBE7ED4" w14:textId="77777777" w:rsidR="004F2045" w:rsidRPr="00032CF3" w:rsidRDefault="004F2045" w:rsidP="004F2045">
      <w:pPr>
        <w:spacing w:before="0" w:after="160" w:line="259" w:lineRule="auto"/>
        <w:rPr>
          <w:rFonts w:cs="Arial"/>
          <w:color w:val="FF0000"/>
          <w:sz w:val="22"/>
        </w:rPr>
      </w:pPr>
      <w:r w:rsidRPr="00032CF3">
        <w:rPr>
          <w:rFonts w:cs="Arial"/>
          <w:color w:val="FF0000"/>
          <w:sz w:val="22"/>
        </w:rPr>
        <w:br w:type="page"/>
      </w:r>
    </w:p>
    <w:p w14:paraId="60143A12" w14:textId="77777777" w:rsidR="004F2045" w:rsidRPr="00032CF3" w:rsidRDefault="004F2045" w:rsidP="004F2045">
      <w:pPr>
        <w:pStyle w:val="Heading2"/>
        <w:rPr>
          <w:rFonts w:cs="Arial"/>
        </w:rPr>
      </w:pPr>
      <w:bookmarkStart w:id="68" w:name="_Toc10223082"/>
      <w:r w:rsidRPr="00032CF3">
        <w:rPr>
          <w:rFonts w:cs="Arial"/>
        </w:rPr>
        <w:lastRenderedPageBreak/>
        <w:t>Appendix</w:t>
      </w:r>
      <w:r w:rsidR="000F405E" w:rsidRPr="00032CF3">
        <w:rPr>
          <w:rFonts w:cs="Arial"/>
        </w:rPr>
        <w:t xml:space="preserve"> D</w:t>
      </w:r>
      <w:r w:rsidRPr="00032CF3">
        <w:rPr>
          <w:rFonts w:cs="Arial"/>
        </w:rPr>
        <w:t xml:space="preserve"> – Definitions of Individual</w:t>
      </w:r>
      <w:r w:rsidR="00764201" w:rsidRPr="00032CF3">
        <w:rPr>
          <w:rFonts w:cs="Arial"/>
        </w:rPr>
        <w:t>/Direct</w:t>
      </w:r>
      <w:r w:rsidRPr="00032CF3">
        <w:rPr>
          <w:rFonts w:cs="Arial"/>
        </w:rPr>
        <w:t xml:space="preserve"> and Indirect Care</w:t>
      </w:r>
      <w:bookmarkEnd w:id="68"/>
    </w:p>
    <w:p w14:paraId="0304A114" w14:textId="77777777" w:rsidR="004F2045" w:rsidRPr="00032CF3" w:rsidRDefault="004F2045" w:rsidP="004F2045">
      <w:pPr>
        <w:spacing w:before="0" w:after="0" w:line="276" w:lineRule="auto"/>
        <w:jc w:val="both"/>
        <w:rPr>
          <w:rFonts w:cs="Arial"/>
          <w:bCs w:val="0"/>
          <w:szCs w:val="22"/>
        </w:rPr>
      </w:pPr>
      <w:r w:rsidRPr="00032CF3">
        <w:rPr>
          <w:rFonts w:cs="Arial"/>
          <w:szCs w:val="22"/>
        </w:rPr>
        <w:t>Both definitions are taken from “Information: To Share or not to Share? The Information Governance Review 2013”</w:t>
      </w:r>
    </w:p>
    <w:p w14:paraId="63A43C41" w14:textId="77777777" w:rsidR="004F2045" w:rsidRPr="00032CF3" w:rsidRDefault="004F2045" w:rsidP="004F2045">
      <w:pPr>
        <w:keepNext/>
        <w:keepLines/>
        <w:spacing w:before="0" w:after="0" w:line="276" w:lineRule="auto"/>
        <w:jc w:val="both"/>
        <w:outlineLvl w:val="1"/>
        <w:rPr>
          <w:rFonts w:eastAsia="MS Gothic" w:cs="Arial"/>
          <w:color w:val="2E74B5"/>
          <w:szCs w:val="22"/>
        </w:rPr>
      </w:pPr>
    </w:p>
    <w:p w14:paraId="2EA8681A" w14:textId="77777777" w:rsidR="004F2045" w:rsidRPr="00032CF3" w:rsidRDefault="004F2045" w:rsidP="004F2045">
      <w:pPr>
        <w:rPr>
          <w:rFonts w:eastAsia="MS Gothic" w:cs="Arial"/>
          <w:b/>
        </w:rPr>
      </w:pPr>
      <w:r w:rsidRPr="00032CF3">
        <w:rPr>
          <w:rFonts w:eastAsia="MS Gothic" w:cs="Arial"/>
          <w:b/>
        </w:rPr>
        <w:t xml:space="preserve">Definition of Individual care (Direct care) </w:t>
      </w:r>
    </w:p>
    <w:p w14:paraId="0DAE79CD" w14:textId="77777777" w:rsidR="004F2045" w:rsidRPr="00032CF3" w:rsidRDefault="004F2045" w:rsidP="004F2045">
      <w:pPr>
        <w:spacing w:before="0" w:after="0" w:line="276" w:lineRule="auto"/>
        <w:jc w:val="both"/>
        <w:rPr>
          <w:rFonts w:cs="Arial"/>
          <w:bCs w:val="0"/>
          <w:i/>
          <w:szCs w:val="22"/>
        </w:rPr>
      </w:pPr>
      <w:r w:rsidRPr="00032CF3">
        <w:rPr>
          <w:rFonts w:cs="Arial"/>
          <w:i/>
          <w:szCs w:val="22"/>
        </w:rPr>
        <w:t>A clinical, social or public health activity concerned with the prevention, investigation and treatment of illness and the alleviation of suffering of individuals. It includes supporting individuals’ ability to function and improve their participation in life and society. It includes the assurance of safe and high quality care and treatment through local audit, the management of untoward or adverse incidents, person satisfaction including measurement of outcomes undertaken by one or more registered and regulated health or social care professionals and their team with whom the individual has a legitimate relationship for their care.</w:t>
      </w:r>
    </w:p>
    <w:p w14:paraId="79836478" w14:textId="77777777" w:rsidR="004F2045" w:rsidRPr="00032CF3" w:rsidRDefault="004F2045" w:rsidP="004F2045">
      <w:pPr>
        <w:spacing w:before="0" w:after="0" w:line="276" w:lineRule="auto"/>
        <w:jc w:val="both"/>
        <w:rPr>
          <w:rFonts w:cs="Arial"/>
          <w:szCs w:val="22"/>
        </w:rPr>
      </w:pPr>
    </w:p>
    <w:p w14:paraId="40B235DF" w14:textId="77777777" w:rsidR="004F2045" w:rsidRPr="00032CF3" w:rsidRDefault="004F2045" w:rsidP="004F2045">
      <w:pPr>
        <w:spacing w:before="0" w:after="0" w:line="276" w:lineRule="auto"/>
        <w:jc w:val="both"/>
        <w:rPr>
          <w:rFonts w:cs="Arial"/>
          <w:bCs w:val="0"/>
          <w:i/>
          <w:szCs w:val="22"/>
        </w:rPr>
      </w:pPr>
      <w:r w:rsidRPr="00032CF3">
        <w:rPr>
          <w:rFonts w:cs="Arial"/>
          <w:szCs w:val="22"/>
        </w:rPr>
        <w:t>D</w:t>
      </w:r>
      <w:r w:rsidRPr="00032CF3">
        <w:rPr>
          <w:rFonts w:cs="Arial"/>
          <w:i/>
          <w:szCs w:val="22"/>
        </w:rPr>
        <w:t>irect care is provided by health and social care staff working in care teams, which may include doctors, nurses and a wide range of staff on regulated professional registers, including social workers. Relevant information should be shared with them when they have a legitimate relationship with the patient or service user.</w:t>
      </w:r>
    </w:p>
    <w:p w14:paraId="0FC9839B" w14:textId="77777777" w:rsidR="004F2045" w:rsidRPr="00032CF3" w:rsidRDefault="004F2045" w:rsidP="004F2045">
      <w:pPr>
        <w:spacing w:before="0" w:after="0" w:line="276" w:lineRule="auto"/>
        <w:jc w:val="both"/>
        <w:rPr>
          <w:rFonts w:cs="Arial"/>
          <w:bCs w:val="0"/>
          <w:i/>
          <w:szCs w:val="22"/>
        </w:rPr>
      </w:pPr>
    </w:p>
    <w:p w14:paraId="40CA91BF" w14:textId="77777777" w:rsidR="004F2045" w:rsidRPr="00032CF3" w:rsidRDefault="004F2045" w:rsidP="004F2045">
      <w:pPr>
        <w:spacing w:before="0" w:after="0" w:line="276" w:lineRule="auto"/>
        <w:jc w:val="both"/>
        <w:rPr>
          <w:rFonts w:cs="Arial"/>
          <w:bCs w:val="0"/>
          <w:szCs w:val="22"/>
        </w:rPr>
      </w:pPr>
      <w:r w:rsidRPr="00032CF3">
        <w:rPr>
          <w:rFonts w:cs="Arial"/>
          <w:szCs w:val="22"/>
        </w:rPr>
        <w:t xml:space="preserve">When sharing for direct care you need to be very clear about the purpose for which it is being used. If it does not fit into the above context it will not be considered individual care and therefore the way in which the information governance rules apply </w:t>
      </w:r>
      <w:r w:rsidR="00AB751E" w:rsidRPr="00032CF3">
        <w:rPr>
          <w:rFonts w:cs="Arial"/>
          <w:szCs w:val="22"/>
        </w:rPr>
        <w:t>will change.</w:t>
      </w:r>
    </w:p>
    <w:p w14:paraId="36462E52" w14:textId="77777777" w:rsidR="004F2045" w:rsidRPr="00032CF3" w:rsidRDefault="004F2045" w:rsidP="004F2045">
      <w:pPr>
        <w:spacing w:before="0" w:after="0" w:line="276" w:lineRule="auto"/>
        <w:jc w:val="both"/>
        <w:rPr>
          <w:rFonts w:cs="Arial"/>
          <w:b/>
          <w:szCs w:val="22"/>
        </w:rPr>
      </w:pPr>
    </w:p>
    <w:p w14:paraId="3D6BC2C7" w14:textId="77777777" w:rsidR="00B34D90" w:rsidRPr="00032CF3" w:rsidRDefault="00B34D90" w:rsidP="00B34D90">
      <w:pPr>
        <w:rPr>
          <w:rFonts w:eastAsia="MS Gothic" w:cs="Arial"/>
          <w:b/>
        </w:rPr>
      </w:pPr>
      <w:r w:rsidRPr="00032CF3">
        <w:rPr>
          <w:rFonts w:eastAsia="MS Gothic" w:cs="Arial"/>
          <w:b/>
        </w:rPr>
        <w:t xml:space="preserve">Definition of </w:t>
      </w:r>
      <w:r w:rsidR="00B575AF" w:rsidRPr="00032CF3">
        <w:rPr>
          <w:rFonts w:eastAsia="MS Gothic" w:cs="Arial"/>
          <w:b/>
        </w:rPr>
        <w:t>i</w:t>
      </w:r>
      <w:r w:rsidRPr="00032CF3">
        <w:rPr>
          <w:rFonts w:eastAsia="MS Gothic" w:cs="Arial"/>
          <w:b/>
        </w:rPr>
        <w:t>ndirect care (secondary uses)</w:t>
      </w:r>
    </w:p>
    <w:p w14:paraId="6A1C0E9A" w14:textId="77777777" w:rsidR="004F2045" w:rsidRPr="00032CF3" w:rsidRDefault="004F2045" w:rsidP="004F2045">
      <w:pPr>
        <w:spacing w:before="0" w:after="0" w:line="276" w:lineRule="auto"/>
        <w:jc w:val="both"/>
        <w:rPr>
          <w:rFonts w:cs="Arial"/>
          <w:i/>
          <w:szCs w:val="22"/>
        </w:rPr>
      </w:pPr>
      <w:r w:rsidRPr="00032CF3">
        <w:rPr>
          <w:rFonts w:cs="Arial"/>
          <w:i/>
          <w:szCs w:val="22"/>
        </w:rPr>
        <w:t>Activities that contribute to the overall provision of services to a population as a whole or a group of patients with a particular condition, but which fall outside the scope of direct care. It covers health services management, preventative medicine, and medical research. Examples of activities would be risk prediction and stratification, service evaluation, needs assessment, financial audit.</w:t>
      </w:r>
    </w:p>
    <w:p w14:paraId="516920A2" w14:textId="77777777" w:rsidR="004F2045" w:rsidRPr="00032CF3" w:rsidRDefault="004F2045" w:rsidP="004F2045">
      <w:pPr>
        <w:jc w:val="both"/>
        <w:rPr>
          <w:rFonts w:cs="Arial"/>
          <w:b/>
          <w:szCs w:val="22"/>
        </w:rPr>
      </w:pPr>
    </w:p>
    <w:p w14:paraId="4915B5E7" w14:textId="77777777" w:rsidR="004F2045" w:rsidRPr="00032CF3" w:rsidRDefault="004F2045" w:rsidP="004F2045">
      <w:pPr>
        <w:spacing w:before="0" w:after="160" w:line="259" w:lineRule="auto"/>
        <w:jc w:val="both"/>
        <w:rPr>
          <w:rFonts w:cs="Arial"/>
          <w:color w:val="FF0000"/>
          <w:sz w:val="22"/>
          <w:szCs w:val="22"/>
        </w:rPr>
      </w:pPr>
      <w:r w:rsidRPr="00032CF3">
        <w:rPr>
          <w:rFonts w:cs="Arial"/>
          <w:color w:val="FF0000"/>
          <w:sz w:val="22"/>
          <w:szCs w:val="22"/>
        </w:rPr>
        <w:br w:type="page"/>
      </w:r>
    </w:p>
    <w:p w14:paraId="60F02A98" w14:textId="77777777" w:rsidR="004F2045" w:rsidRPr="00032CF3" w:rsidRDefault="000F405E" w:rsidP="004F2045">
      <w:pPr>
        <w:pStyle w:val="Heading2"/>
        <w:rPr>
          <w:rFonts w:cs="Arial"/>
          <w:szCs w:val="24"/>
        </w:rPr>
      </w:pPr>
      <w:bookmarkStart w:id="69" w:name="_Hlk531264494"/>
      <w:bookmarkStart w:id="70" w:name="_Toc10223083"/>
      <w:r w:rsidRPr="00032CF3">
        <w:rPr>
          <w:rFonts w:cs="Arial"/>
          <w:szCs w:val="24"/>
        </w:rPr>
        <w:lastRenderedPageBreak/>
        <w:t>Appendix E</w:t>
      </w:r>
      <w:r w:rsidR="004F2045" w:rsidRPr="00032CF3">
        <w:rPr>
          <w:rFonts w:cs="Arial"/>
          <w:szCs w:val="24"/>
        </w:rPr>
        <w:t xml:space="preserve"> </w:t>
      </w:r>
      <w:r w:rsidR="0047638A" w:rsidRPr="00032CF3">
        <w:rPr>
          <w:rFonts w:cs="Arial"/>
          <w:szCs w:val="24"/>
        </w:rPr>
        <w:t>–</w:t>
      </w:r>
      <w:r w:rsidR="004F2045" w:rsidRPr="00032CF3">
        <w:rPr>
          <w:rFonts w:cs="Arial"/>
          <w:szCs w:val="24"/>
        </w:rPr>
        <w:t xml:space="preserve"> </w:t>
      </w:r>
      <w:r w:rsidR="0047638A" w:rsidRPr="00032CF3">
        <w:rPr>
          <w:rFonts w:cs="Arial"/>
          <w:szCs w:val="24"/>
        </w:rPr>
        <w:t xml:space="preserve">Lawful </w:t>
      </w:r>
      <w:r w:rsidR="00E829B1" w:rsidRPr="00032CF3">
        <w:rPr>
          <w:rFonts w:cs="Arial"/>
          <w:szCs w:val="24"/>
        </w:rPr>
        <w:t xml:space="preserve">Conditions for </w:t>
      </w:r>
      <w:r w:rsidR="0047638A" w:rsidRPr="00032CF3">
        <w:rPr>
          <w:rFonts w:cs="Arial"/>
          <w:szCs w:val="24"/>
        </w:rPr>
        <w:t>Processing</w:t>
      </w:r>
      <w:bookmarkEnd w:id="70"/>
    </w:p>
    <w:p w14:paraId="789EF496" w14:textId="77777777" w:rsidR="004F2045" w:rsidRPr="00032CF3" w:rsidRDefault="004F2045" w:rsidP="00E829B1">
      <w:pPr>
        <w:rPr>
          <w:rFonts w:cs="Arial"/>
          <w:b/>
          <w:szCs w:val="24"/>
        </w:rPr>
      </w:pPr>
      <w:bookmarkStart w:id="71" w:name="_Hlk531263871"/>
      <w:bookmarkEnd w:id="69"/>
      <w:r w:rsidRPr="00032CF3">
        <w:rPr>
          <w:rFonts w:cs="Arial"/>
          <w:b/>
          <w:szCs w:val="24"/>
        </w:rPr>
        <w:t xml:space="preserve">GDPR Article 6 and Article 9 applicable conditions </w:t>
      </w:r>
    </w:p>
    <w:bookmarkEnd w:id="71"/>
    <w:p w14:paraId="051A29DD" w14:textId="77777777" w:rsidR="004F2045" w:rsidRPr="00032CF3" w:rsidRDefault="004F2045" w:rsidP="004F2045">
      <w:pPr>
        <w:spacing w:before="0" w:after="0" w:line="276" w:lineRule="auto"/>
        <w:rPr>
          <w:rFonts w:cs="Arial"/>
          <w:b/>
          <w:szCs w:val="24"/>
        </w:rPr>
      </w:pPr>
      <w:r w:rsidRPr="00032CF3">
        <w:rPr>
          <w:rFonts w:cs="Arial"/>
          <w:b/>
          <w:szCs w:val="24"/>
        </w:rPr>
        <w:t xml:space="preserve">Article 6 </w:t>
      </w:r>
    </w:p>
    <w:p w14:paraId="57C4B111" w14:textId="77777777" w:rsidR="004F2045" w:rsidRPr="00032CF3" w:rsidRDefault="004F2045" w:rsidP="004F2045">
      <w:pPr>
        <w:spacing w:before="0" w:after="0" w:line="276" w:lineRule="auto"/>
        <w:rPr>
          <w:rFonts w:cs="Arial"/>
          <w:szCs w:val="24"/>
        </w:rPr>
      </w:pPr>
      <w:r w:rsidRPr="00032CF3">
        <w:rPr>
          <w:rFonts w:cs="Arial"/>
          <w:szCs w:val="24"/>
        </w:rPr>
        <w:t xml:space="preserve">Lawfulness of processing </w:t>
      </w:r>
    </w:p>
    <w:p w14:paraId="2FC9B257" w14:textId="77777777" w:rsidR="004F2045" w:rsidRPr="00032CF3" w:rsidRDefault="004F2045" w:rsidP="004F2045">
      <w:pPr>
        <w:spacing w:before="0" w:after="0" w:line="276" w:lineRule="auto"/>
        <w:rPr>
          <w:rFonts w:cs="Arial"/>
          <w:szCs w:val="24"/>
        </w:rPr>
      </w:pPr>
      <w:r w:rsidRPr="00032CF3">
        <w:rPr>
          <w:rFonts w:cs="Arial"/>
          <w:szCs w:val="24"/>
        </w:rPr>
        <w:t xml:space="preserve">1. Processing shall be lawful only if and to the extent that at least one of the following applies: </w:t>
      </w:r>
    </w:p>
    <w:p w14:paraId="67CB9349" w14:textId="77777777" w:rsidR="00C537FE" w:rsidRPr="00032CF3" w:rsidRDefault="004F2045" w:rsidP="00C537FE">
      <w:pPr>
        <w:tabs>
          <w:tab w:val="left" w:pos="4890"/>
        </w:tabs>
        <w:spacing w:before="0" w:after="0" w:line="276" w:lineRule="auto"/>
        <w:rPr>
          <w:rFonts w:cs="Arial"/>
          <w:szCs w:val="24"/>
        </w:rPr>
      </w:pPr>
      <w:r w:rsidRPr="00032CF3">
        <w:rPr>
          <w:rFonts w:cs="Arial"/>
          <w:szCs w:val="24"/>
        </w:rPr>
        <w:t xml:space="preserve">(a)  the data subject has given consent to the processing of his or her personal data for </w:t>
      </w:r>
      <w:r w:rsidR="00A468F5" w:rsidRPr="00032CF3">
        <w:rPr>
          <w:rFonts w:cs="Arial"/>
          <w:szCs w:val="24"/>
        </w:rPr>
        <w:t xml:space="preserve">one or more specific purposes; </w:t>
      </w:r>
      <w:r w:rsidRPr="00032CF3">
        <w:rPr>
          <w:rFonts w:cs="Arial"/>
          <w:szCs w:val="24"/>
        </w:rPr>
        <w:br/>
      </w:r>
      <w:r w:rsidR="00C537FE" w:rsidRPr="00032CF3">
        <w:rPr>
          <w:rFonts w:cs="Arial"/>
          <w:szCs w:val="24"/>
        </w:rPr>
        <w:t xml:space="preserve">(c) processing is necessary for compliance with a legal obligation to which the controller is subject; </w:t>
      </w:r>
    </w:p>
    <w:p w14:paraId="07DE5601" w14:textId="77777777" w:rsidR="004F2045" w:rsidRPr="00032CF3" w:rsidRDefault="004F2045" w:rsidP="00C537FE">
      <w:pPr>
        <w:tabs>
          <w:tab w:val="left" w:pos="4890"/>
        </w:tabs>
        <w:spacing w:before="0" w:after="0" w:line="276" w:lineRule="auto"/>
        <w:rPr>
          <w:rFonts w:cs="Arial"/>
          <w:szCs w:val="24"/>
        </w:rPr>
      </w:pPr>
      <w:r w:rsidRPr="00032CF3">
        <w:rPr>
          <w:rFonts w:cs="Arial"/>
          <w:szCs w:val="24"/>
        </w:rPr>
        <w:t xml:space="preserve">(d)  processing is necessary in order to protect the vital interests of the data subject or of another natural person; </w:t>
      </w:r>
    </w:p>
    <w:p w14:paraId="779608DA" w14:textId="77777777" w:rsidR="004F2045" w:rsidRDefault="004F2045" w:rsidP="004F2045">
      <w:pPr>
        <w:spacing w:before="0" w:after="0" w:line="276" w:lineRule="auto"/>
        <w:jc w:val="both"/>
        <w:rPr>
          <w:rFonts w:cs="Arial"/>
          <w:szCs w:val="24"/>
        </w:rPr>
      </w:pPr>
      <w:r w:rsidRPr="00032CF3">
        <w:rPr>
          <w:rFonts w:cs="Arial"/>
          <w:szCs w:val="24"/>
        </w:rPr>
        <w:t xml:space="preserve">(e)  processing is necessary for the performance of a task carried out in the public interest or in the exercise of official authority vested in the controller; </w:t>
      </w:r>
    </w:p>
    <w:p w14:paraId="51DE7EA4" w14:textId="77777777" w:rsidR="00B86B94" w:rsidRPr="00032CF3" w:rsidRDefault="00B86B94" w:rsidP="004F2045">
      <w:pPr>
        <w:spacing w:before="0" w:after="0" w:line="276" w:lineRule="auto"/>
        <w:jc w:val="both"/>
        <w:rPr>
          <w:rFonts w:cs="Arial"/>
          <w:szCs w:val="24"/>
        </w:rPr>
      </w:pPr>
      <w:bookmarkStart w:id="72" w:name="a6_p1f"/>
      <w:bookmarkStart w:id="73" w:name="zeile_241"/>
      <w:bookmarkEnd w:id="72"/>
      <w:bookmarkEnd w:id="73"/>
      <w:r>
        <w:t xml:space="preserve">(f) processing is necessary for the purposes of the </w:t>
      </w:r>
      <w:r>
        <w:rPr>
          <w:b/>
          <w:bCs w:val="0"/>
          <w:u w:val="single"/>
        </w:rPr>
        <w:t>legitimate interests</w:t>
      </w:r>
      <w:r>
        <w:t xml:space="preserve"> pursued by the controller or by a third party, except where such interests are overridden by the interests or fundamental rights and freedoms of the data subject which require protection of personal data, in particular where the data subject is a child.</w:t>
      </w:r>
    </w:p>
    <w:p w14:paraId="5FAD45B3" w14:textId="77777777" w:rsidR="0032389C" w:rsidRPr="00032CF3" w:rsidRDefault="0032389C" w:rsidP="004F2045">
      <w:pPr>
        <w:spacing w:before="0" w:after="0" w:line="276" w:lineRule="auto"/>
        <w:jc w:val="both"/>
        <w:rPr>
          <w:rFonts w:eastAsia="Calibri" w:cs="Arial"/>
          <w:b/>
          <w:szCs w:val="24"/>
        </w:rPr>
      </w:pPr>
    </w:p>
    <w:p w14:paraId="1557C1FE" w14:textId="30F2155B" w:rsidR="00B86B94" w:rsidRPr="002968F5" w:rsidRDefault="00B86B94" w:rsidP="00B86B94">
      <w:pPr>
        <w:spacing w:before="0" w:after="0" w:line="276" w:lineRule="auto"/>
        <w:jc w:val="both"/>
        <w:rPr>
          <w:rFonts w:eastAsia="Calibri"/>
          <w:b/>
          <w:szCs w:val="24"/>
        </w:rPr>
      </w:pPr>
      <w:r w:rsidRPr="00032CF3">
        <w:rPr>
          <w:rFonts w:cs="Arial"/>
          <w:b/>
          <w:szCs w:val="24"/>
        </w:rPr>
        <w:t>Do not use consent as a condition for processing to meet GDPR/DPA requirements, unless in exceptional circumstances.</w:t>
      </w:r>
      <w:r w:rsidRPr="00032CF3">
        <w:rPr>
          <w:rStyle w:val="FootnoteReference"/>
          <w:rFonts w:cs="Arial"/>
          <w:b/>
          <w:szCs w:val="24"/>
        </w:rPr>
        <w:footnoteReference w:id="15"/>
      </w:r>
      <w:r w:rsidRPr="00032CF3">
        <w:rPr>
          <w:rFonts w:eastAsia="Calibri" w:cs="Arial"/>
          <w:b/>
          <w:szCs w:val="24"/>
        </w:rPr>
        <w:t xml:space="preserve"> </w:t>
      </w:r>
      <w:r w:rsidRPr="002968F5">
        <w:rPr>
          <w:rFonts w:eastAsia="Calibri"/>
          <w:b/>
          <w:szCs w:val="24"/>
        </w:rPr>
        <w:t xml:space="preserve">The most appropriate basis for lawful processing that is available to publicly funded and/or statutory health and social care organisations in the delivery of their functions is Article </w:t>
      </w:r>
      <w:r w:rsidR="00AC2D11" w:rsidRPr="002968F5">
        <w:rPr>
          <w:rFonts w:eastAsia="Calibri"/>
          <w:b/>
          <w:szCs w:val="24"/>
        </w:rPr>
        <w:t>6(1)</w:t>
      </w:r>
      <w:r w:rsidR="00AC2D11">
        <w:rPr>
          <w:rFonts w:eastAsia="Calibri"/>
          <w:b/>
          <w:szCs w:val="24"/>
        </w:rPr>
        <w:t xml:space="preserve">(c) or </w:t>
      </w:r>
      <w:r w:rsidR="00AC2D11" w:rsidRPr="002968F5">
        <w:rPr>
          <w:rFonts w:eastAsia="Calibri"/>
          <w:b/>
          <w:szCs w:val="24"/>
        </w:rPr>
        <w:t xml:space="preserve">(e) </w:t>
      </w:r>
      <w:r w:rsidRPr="002968F5">
        <w:rPr>
          <w:rFonts w:eastAsia="Calibri"/>
          <w:b/>
          <w:szCs w:val="24"/>
        </w:rPr>
        <w:t>and Article 9(2)(h) special category data (see Appendix E for further explanation).</w:t>
      </w:r>
      <w:r>
        <w:rPr>
          <w:rFonts w:eastAsia="Calibri"/>
          <w:b/>
          <w:szCs w:val="24"/>
        </w:rPr>
        <w:t xml:space="preserve"> Where independent care providers are processing personal data in connection with the provision of self-funded care they can rely on Article 6(1)(f) (legitimate interests). There is no change to the Article 9 basis.</w:t>
      </w:r>
    </w:p>
    <w:p w14:paraId="62B9D835" w14:textId="77777777" w:rsidR="00A468F5" w:rsidRPr="00032CF3" w:rsidRDefault="00A468F5" w:rsidP="004F2045">
      <w:pPr>
        <w:spacing w:before="0" w:after="0" w:line="276" w:lineRule="auto"/>
        <w:jc w:val="both"/>
        <w:rPr>
          <w:rFonts w:cs="Arial"/>
          <w:b/>
          <w:szCs w:val="24"/>
        </w:rPr>
      </w:pPr>
    </w:p>
    <w:p w14:paraId="0EA8462B" w14:textId="77777777" w:rsidR="004F2045" w:rsidRPr="00032CF3" w:rsidRDefault="004F2045" w:rsidP="004F2045">
      <w:pPr>
        <w:spacing w:before="0" w:after="0" w:line="276" w:lineRule="auto"/>
        <w:jc w:val="both"/>
        <w:rPr>
          <w:rFonts w:cs="Arial"/>
          <w:b/>
          <w:szCs w:val="24"/>
        </w:rPr>
      </w:pPr>
      <w:r w:rsidRPr="00032CF3">
        <w:rPr>
          <w:rFonts w:cs="Arial"/>
          <w:b/>
          <w:szCs w:val="24"/>
        </w:rPr>
        <w:t xml:space="preserve">Article 9 </w:t>
      </w:r>
    </w:p>
    <w:p w14:paraId="68989C16" w14:textId="77777777" w:rsidR="004F2045" w:rsidRPr="00032CF3" w:rsidRDefault="004F2045" w:rsidP="004F2045">
      <w:pPr>
        <w:spacing w:before="0" w:after="0" w:line="276" w:lineRule="auto"/>
        <w:jc w:val="both"/>
        <w:rPr>
          <w:rFonts w:cs="Arial"/>
          <w:szCs w:val="24"/>
        </w:rPr>
      </w:pPr>
      <w:r w:rsidRPr="00032CF3">
        <w:rPr>
          <w:rFonts w:cs="Arial"/>
          <w:szCs w:val="24"/>
        </w:rPr>
        <w:t>Conditions for processing of spec</w:t>
      </w:r>
      <w:r w:rsidR="0032389C" w:rsidRPr="00032CF3">
        <w:rPr>
          <w:rFonts w:cs="Arial"/>
          <w:szCs w:val="24"/>
        </w:rPr>
        <w:t>ial categories of personal data:</w:t>
      </w:r>
    </w:p>
    <w:p w14:paraId="41A8E83C" w14:textId="77777777" w:rsidR="0032389C" w:rsidRPr="00032CF3" w:rsidRDefault="0032389C" w:rsidP="004F2045">
      <w:pPr>
        <w:spacing w:before="0" w:after="0" w:line="276" w:lineRule="auto"/>
        <w:jc w:val="both"/>
        <w:rPr>
          <w:rFonts w:cs="Arial"/>
          <w:szCs w:val="24"/>
        </w:rPr>
      </w:pPr>
    </w:p>
    <w:p w14:paraId="07E22363" w14:textId="77777777" w:rsidR="004F2045" w:rsidRPr="00032CF3" w:rsidRDefault="004F2045" w:rsidP="004F2045">
      <w:pPr>
        <w:spacing w:before="0" w:after="0" w:line="276" w:lineRule="auto"/>
        <w:jc w:val="both"/>
        <w:rPr>
          <w:rFonts w:cs="Arial"/>
          <w:szCs w:val="24"/>
        </w:rPr>
      </w:pPr>
      <w:r w:rsidRPr="00032CF3">
        <w:rPr>
          <w:rFonts w:cs="Arial"/>
          <w:szCs w:val="24"/>
        </w:rPr>
        <w:t xml:space="preserve">1. 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prohibited. </w:t>
      </w:r>
    </w:p>
    <w:p w14:paraId="09743B6D" w14:textId="77777777" w:rsidR="004F2045" w:rsidRPr="00032CF3" w:rsidRDefault="004F2045" w:rsidP="004F2045">
      <w:pPr>
        <w:spacing w:before="0" w:after="0" w:line="276" w:lineRule="auto"/>
        <w:jc w:val="both"/>
        <w:rPr>
          <w:rFonts w:cs="Arial"/>
          <w:szCs w:val="24"/>
        </w:rPr>
      </w:pPr>
    </w:p>
    <w:p w14:paraId="4B186963" w14:textId="77777777" w:rsidR="004F2045" w:rsidRPr="00032CF3" w:rsidRDefault="004F2045" w:rsidP="004F2045">
      <w:pPr>
        <w:spacing w:before="0" w:after="0" w:line="276" w:lineRule="auto"/>
        <w:jc w:val="both"/>
        <w:rPr>
          <w:rFonts w:cs="Arial"/>
          <w:szCs w:val="24"/>
        </w:rPr>
      </w:pPr>
      <w:r w:rsidRPr="00032CF3">
        <w:rPr>
          <w:rFonts w:cs="Arial"/>
          <w:szCs w:val="24"/>
        </w:rPr>
        <w:t xml:space="preserve">2. Paragraph 1 shall not apply if one of the following applies: </w:t>
      </w:r>
    </w:p>
    <w:p w14:paraId="028FDBED" w14:textId="77777777" w:rsidR="004F2045" w:rsidRPr="00032CF3" w:rsidRDefault="00F84FBF" w:rsidP="004F2045">
      <w:pPr>
        <w:spacing w:before="0" w:after="0" w:line="276" w:lineRule="auto"/>
        <w:jc w:val="both"/>
        <w:rPr>
          <w:rFonts w:cs="Arial"/>
          <w:szCs w:val="24"/>
        </w:rPr>
      </w:pPr>
      <w:r w:rsidRPr="00032CF3">
        <w:rPr>
          <w:rFonts w:cs="Arial"/>
          <w:szCs w:val="24"/>
        </w:rPr>
        <w:t xml:space="preserve">(a)  </w:t>
      </w:r>
      <w:r w:rsidR="004F2045" w:rsidRPr="00032CF3">
        <w:rPr>
          <w:rFonts w:cs="Arial"/>
          <w:szCs w:val="24"/>
        </w:rPr>
        <w:t xml:space="preserve">the data subject has given explicit consent to the processing of those personal data for one or more specified purposes, except where Union or Member State law provide that the prohibition referred to in paragraph 1 may not be lifted by the data subject; </w:t>
      </w:r>
    </w:p>
    <w:p w14:paraId="63F4C838" w14:textId="77777777" w:rsidR="004F2045" w:rsidRPr="00032CF3" w:rsidRDefault="004F2045" w:rsidP="004F2045">
      <w:pPr>
        <w:spacing w:before="0" w:after="0" w:line="276" w:lineRule="auto"/>
        <w:jc w:val="both"/>
        <w:rPr>
          <w:rFonts w:cs="Arial"/>
          <w:szCs w:val="24"/>
        </w:rPr>
      </w:pPr>
      <w:r w:rsidRPr="00032CF3">
        <w:rPr>
          <w:rFonts w:cs="Arial"/>
          <w:szCs w:val="24"/>
        </w:rPr>
        <w:t xml:space="preserve">(c)  processing is necessary to protect the vital interests of the data subject or of another natural person where the data subject is physically or legally incapable of giving consent; </w:t>
      </w:r>
    </w:p>
    <w:p w14:paraId="40B2043B" w14:textId="77777777" w:rsidR="004F2045" w:rsidRPr="00032CF3" w:rsidRDefault="004F2045" w:rsidP="004F2045">
      <w:pPr>
        <w:spacing w:before="0" w:after="0" w:line="276" w:lineRule="auto"/>
        <w:jc w:val="both"/>
        <w:rPr>
          <w:rFonts w:cs="Arial"/>
          <w:szCs w:val="24"/>
        </w:rPr>
      </w:pPr>
      <w:r w:rsidRPr="00032CF3">
        <w:rPr>
          <w:rFonts w:cs="Arial"/>
          <w:szCs w:val="24"/>
        </w:rPr>
        <w:lastRenderedPageBreak/>
        <w:t xml:space="preserve">(h)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 </w:t>
      </w:r>
    </w:p>
    <w:p w14:paraId="08592DE5" w14:textId="77777777" w:rsidR="004F2045" w:rsidRPr="00032CF3" w:rsidRDefault="004F2045" w:rsidP="004F2045">
      <w:pPr>
        <w:spacing w:before="0" w:after="0" w:line="276" w:lineRule="auto"/>
        <w:jc w:val="both"/>
        <w:rPr>
          <w:rFonts w:cs="Arial"/>
          <w:szCs w:val="24"/>
        </w:rPr>
      </w:pPr>
      <w:r w:rsidRPr="00032CF3">
        <w:rPr>
          <w:rFonts w:cs="Arial"/>
          <w:szCs w:val="24"/>
        </w:rPr>
        <w:t xml:space="preserve">(i)  processing is necessary for reasons of public interest in the area of public health, such as protecting against serious cross-border threats to health or ensuring high standards of quality and safety of health care and of medicinal products or medical devices, on the basis of Union or Member State law which provides for suitable and specific measures to safeguard the rights and freedoms of the data subject, in particular professional secrecy;   </w:t>
      </w:r>
    </w:p>
    <w:p w14:paraId="6042513A" w14:textId="77777777" w:rsidR="00EA1730" w:rsidRPr="00032CF3" w:rsidRDefault="00CD63D5" w:rsidP="004F2045">
      <w:pPr>
        <w:spacing w:before="0" w:after="0" w:line="276" w:lineRule="auto"/>
        <w:rPr>
          <w:rFonts w:cs="Arial"/>
          <w:color w:val="000000" w:themeColor="text1"/>
          <w:szCs w:val="24"/>
        </w:rPr>
      </w:pPr>
      <w:r w:rsidRPr="00032CF3">
        <w:rPr>
          <w:rFonts w:cs="Arial"/>
          <w:color w:val="000000" w:themeColor="text1"/>
          <w:szCs w:val="24"/>
        </w:rPr>
        <w:t>(j) processing is</w:t>
      </w:r>
      <w:r w:rsidR="0068723E" w:rsidRPr="00032CF3">
        <w:rPr>
          <w:rFonts w:cs="Arial"/>
          <w:color w:val="000000" w:themeColor="text1"/>
          <w:szCs w:val="24"/>
        </w:rPr>
        <w:t xml:space="preserve"> </w:t>
      </w:r>
      <w:r w:rsidRPr="00032CF3">
        <w:rPr>
          <w:rFonts w:cs="Arial"/>
          <w:color w:val="000000" w:themeColor="text1"/>
          <w:szCs w:val="24"/>
        </w:rPr>
        <w:t>necessary for archiving purposes in the public interest, scientific or historical research purposes or statistical purposes in accordance with Article 89(1) based on Union or Member State law which shall be proportionate to the aim pursued, respect the essence of the right</w:t>
      </w:r>
      <w:r w:rsidR="001A45A6" w:rsidRPr="00032CF3">
        <w:rPr>
          <w:rFonts w:cs="Arial"/>
          <w:color w:val="000000" w:themeColor="text1"/>
          <w:szCs w:val="24"/>
        </w:rPr>
        <w:t xml:space="preserve"> to data protection and provide for suitable and specific measures to safeguard the fundamental rights and the interests of the data subject.</w:t>
      </w:r>
    </w:p>
    <w:p w14:paraId="6B331042" w14:textId="77777777" w:rsidR="001A45A6" w:rsidRPr="00032CF3" w:rsidRDefault="001A45A6" w:rsidP="004F2045">
      <w:pPr>
        <w:spacing w:before="0" w:after="0" w:line="276" w:lineRule="auto"/>
        <w:rPr>
          <w:rFonts w:cs="Arial"/>
          <w:color w:val="000000" w:themeColor="text1"/>
          <w:szCs w:val="24"/>
        </w:rPr>
      </w:pPr>
    </w:p>
    <w:p w14:paraId="2103AD4A" w14:textId="77777777" w:rsidR="00041859" w:rsidRPr="00032CF3" w:rsidRDefault="001A45A6" w:rsidP="00962AE5">
      <w:pPr>
        <w:pStyle w:val="ListParagraph"/>
        <w:numPr>
          <w:ilvl w:val="0"/>
          <w:numId w:val="20"/>
        </w:numPr>
        <w:tabs>
          <w:tab w:val="clear" w:pos="4890"/>
        </w:tabs>
        <w:spacing w:before="0" w:after="0" w:line="276" w:lineRule="auto"/>
        <w:ind w:left="0" w:firstLine="0"/>
        <w:rPr>
          <w:rFonts w:ascii="Arial" w:hAnsi="Arial"/>
          <w:color w:val="000000" w:themeColor="text1"/>
          <w:sz w:val="24"/>
          <w:szCs w:val="24"/>
        </w:rPr>
      </w:pPr>
      <w:r w:rsidRPr="00032CF3">
        <w:rPr>
          <w:rFonts w:ascii="Arial" w:hAnsi="Arial"/>
          <w:color w:val="000000" w:themeColor="text1"/>
          <w:sz w:val="24"/>
          <w:szCs w:val="24"/>
        </w:rPr>
        <w:t>Personal data referred to in paragraph 1 may be processed for the purposes referred to in point (h) of paragraph 2 when those data are processed by or under the responsibility of a professional subject to the obligation of professional secrecy under Union or Member State law or rules established by national competent bodies or by another person also subject to an obligation of secrecy under Union or Member State law or rules established by national competent bodies.</w:t>
      </w:r>
    </w:p>
    <w:p w14:paraId="251BA65C" w14:textId="77777777" w:rsidR="001A45A6" w:rsidRPr="00032CF3" w:rsidRDefault="001A45A6" w:rsidP="00962AE5">
      <w:pPr>
        <w:pStyle w:val="ListParagraph"/>
        <w:numPr>
          <w:ilvl w:val="0"/>
          <w:numId w:val="20"/>
        </w:numPr>
        <w:tabs>
          <w:tab w:val="clear" w:pos="4890"/>
        </w:tabs>
        <w:spacing w:before="0" w:after="0" w:line="276" w:lineRule="auto"/>
        <w:ind w:left="0" w:firstLine="0"/>
        <w:rPr>
          <w:rFonts w:ascii="Arial" w:hAnsi="Arial"/>
          <w:color w:val="000000" w:themeColor="text1"/>
          <w:sz w:val="24"/>
          <w:szCs w:val="24"/>
        </w:rPr>
      </w:pPr>
      <w:r w:rsidRPr="00032CF3">
        <w:rPr>
          <w:rFonts w:ascii="Arial" w:hAnsi="Arial"/>
          <w:color w:val="000000" w:themeColor="text1"/>
          <w:sz w:val="24"/>
          <w:szCs w:val="24"/>
        </w:rPr>
        <w:t>Member states may maintain or introduce further conditions including limitations, with regard to the processing of genetic data, biometric data or data concerning health</w:t>
      </w:r>
    </w:p>
    <w:p w14:paraId="30C9CCEC" w14:textId="77777777" w:rsidR="009D39DC" w:rsidRPr="00032CF3" w:rsidRDefault="009D39DC">
      <w:pPr>
        <w:spacing w:before="0" w:after="160" w:line="259" w:lineRule="auto"/>
        <w:rPr>
          <w:rFonts w:cs="Arial"/>
          <w:b/>
          <w:szCs w:val="24"/>
        </w:rPr>
      </w:pPr>
    </w:p>
    <w:p w14:paraId="48C747BC" w14:textId="77777777" w:rsidR="00EA1730" w:rsidRPr="00032CF3" w:rsidRDefault="00EA1730" w:rsidP="00E829B1">
      <w:pPr>
        <w:rPr>
          <w:rFonts w:cs="Arial"/>
          <w:b/>
          <w:szCs w:val="24"/>
        </w:rPr>
      </w:pPr>
      <w:r w:rsidRPr="00032CF3">
        <w:rPr>
          <w:rFonts w:cs="Arial"/>
          <w:b/>
          <w:szCs w:val="24"/>
        </w:rPr>
        <w:t xml:space="preserve">DPA 18 Chapter 2 applicable conditions </w:t>
      </w:r>
    </w:p>
    <w:p w14:paraId="2017D483" w14:textId="77777777" w:rsidR="0047638A" w:rsidRPr="00032CF3" w:rsidRDefault="00764201" w:rsidP="00E829B1">
      <w:pPr>
        <w:spacing w:before="0" w:after="0" w:line="276" w:lineRule="auto"/>
        <w:jc w:val="both"/>
        <w:rPr>
          <w:rFonts w:cs="Arial"/>
          <w:szCs w:val="24"/>
        </w:rPr>
      </w:pPr>
      <w:r w:rsidRPr="00032CF3">
        <w:rPr>
          <w:rFonts w:cs="Arial"/>
          <w:szCs w:val="24"/>
        </w:rPr>
        <w:t>L</w:t>
      </w:r>
      <w:r w:rsidR="0047638A" w:rsidRPr="00032CF3">
        <w:rPr>
          <w:rFonts w:cs="Arial"/>
          <w:szCs w:val="24"/>
        </w:rPr>
        <w:t>awfulness of processing personal data set out in Article 6(1) (e) of the GDPR is covered under Section 8 of the DPA and covers situations where the processing is carried out in the public interest or where the controller is exercising ‘official authority’ includ</w:t>
      </w:r>
      <w:r w:rsidR="00F84FBF" w:rsidRPr="00032CF3">
        <w:rPr>
          <w:rFonts w:cs="Arial"/>
          <w:szCs w:val="24"/>
        </w:rPr>
        <w:t>ing</w:t>
      </w:r>
      <w:r w:rsidR="0047638A" w:rsidRPr="00032CF3">
        <w:rPr>
          <w:rFonts w:cs="Arial"/>
          <w:szCs w:val="24"/>
        </w:rPr>
        <w:t xml:space="preserve"> but not limited to:</w:t>
      </w:r>
    </w:p>
    <w:p w14:paraId="4D405791" w14:textId="77777777" w:rsidR="0047638A" w:rsidRPr="00032CF3" w:rsidRDefault="0047638A" w:rsidP="0047638A">
      <w:pPr>
        <w:spacing w:before="0" w:after="0" w:line="276" w:lineRule="auto"/>
        <w:ind w:left="720"/>
        <w:jc w:val="both"/>
        <w:rPr>
          <w:rFonts w:cs="Arial"/>
          <w:szCs w:val="24"/>
        </w:rPr>
      </w:pPr>
    </w:p>
    <w:p w14:paraId="386C356F" w14:textId="77777777" w:rsidR="0047638A" w:rsidRPr="00032CF3" w:rsidRDefault="0047638A" w:rsidP="0047638A">
      <w:pPr>
        <w:spacing w:before="0" w:after="0" w:line="276" w:lineRule="auto"/>
        <w:ind w:left="720"/>
        <w:rPr>
          <w:rFonts w:cs="Arial"/>
          <w:szCs w:val="24"/>
        </w:rPr>
      </w:pPr>
      <w:r w:rsidRPr="00032CF3">
        <w:rPr>
          <w:rFonts w:cs="Arial"/>
          <w:szCs w:val="24"/>
        </w:rPr>
        <w:t xml:space="preserve">(a) the administration of justice, </w:t>
      </w:r>
      <w:r w:rsidRPr="00032CF3">
        <w:rPr>
          <w:rFonts w:cs="Arial"/>
          <w:szCs w:val="24"/>
        </w:rPr>
        <w:br/>
        <w:t xml:space="preserve">(b) the exercise of a function of either House of Parliament, </w:t>
      </w:r>
      <w:r w:rsidRPr="00032CF3">
        <w:rPr>
          <w:rFonts w:cs="Arial"/>
          <w:szCs w:val="24"/>
        </w:rPr>
        <w:br/>
        <w:t xml:space="preserve">(c) the exercise of a function conferred on a person by an enactment or rule of law, </w:t>
      </w:r>
      <w:r w:rsidRPr="00032CF3">
        <w:rPr>
          <w:rFonts w:cs="Arial"/>
          <w:szCs w:val="24"/>
        </w:rPr>
        <w:br/>
        <w:t xml:space="preserve">(d) the exercise of a function of the Crown, a Minister of the Crown or a government department, or </w:t>
      </w:r>
      <w:r w:rsidRPr="00032CF3">
        <w:rPr>
          <w:rFonts w:cs="Arial"/>
          <w:szCs w:val="24"/>
        </w:rPr>
        <w:br/>
        <w:t>(e) an activity that supports or promotes democratic engagement.</w:t>
      </w:r>
    </w:p>
    <w:p w14:paraId="2A4AC269" w14:textId="77777777" w:rsidR="0047638A" w:rsidRPr="00032CF3" w:rsidRDefault="0047638A" w:rsidP="0047638A">
      <w:pPr>
        <w:spacing w:before="0" w:after="0" w:line="276" w:lineRule="auto"/>
        <w:ind w:left="720"/>
        <w:rPr>
          <w:rFonts w:cs="Arial"/>
          <w:szCs w:val="24"/>
        </w:rPr>
      </w:pPr>
    </w:p>
    <w:p w14:paraId="1110FCE1" w14:textId="77777777" w:rsidR="0047638A" w:rsidRPr="00032CF3" w:rsidRDefault="0047638A" w:rsidP="0047638A">
      <w:pPr>
        <w:spacing w:before="0" w:after="0" w:line="276" w:lineRule="auto"/>
        <w:ind w:left="720"/>
        <w:jc w:val="both"/>
        <w:rPr>
          <w:rFonts w:cs="Arial"/>
          <w:szCs w:val="24"/>
        </w:rPr>
      </w:pPr>
      <w:r w:rsidRPr="00032CF3">
        <w:rPr>
          <w:rFonts w:cs="Arial"/>
          <w:szCs w:val="24"/>
        </w:rPr>
        <w:t>The lawfulness of processing special categories of personal data set out in Article 9 (2)</w:t>
      </w:r>
      <w:hyperlink r:id="rId31" w:history="1">
        <w:r w:rsidRPr="00032CF3">
          <w:rPr>
            <w:rStyle w:val="Hyperlink"/>
            <w:rFonts w:cs="Arial"/>
            <w:szCs w:val="24"/>
          </w:rPr>
          <w:t xml:space="preserve"> </w:t>
        </w:r>
      </w:hyperlink>
      <w:r w:rsidRPr="00032CF3">
        <w:rPr>
          <w:rFonts w:cs="Arial"/>
          <w:szCs w:val="24"/>
        </w:rPr>
        <w:t xml:space="preserve">(h) of GDPR is covered under Section 10 and 11 of DPA 2018 and the processing meets the following conditions set out in Part 1 of Schedule 1 of the Act: </w:t>
      </w:r>
    </w:p>
    <w:p w14:paraId="53C20932" w14:textId="77777777" w:rsidR="0047638A" w:rsidRPr="00032CF3" w:rsidRDefault="0047638A" w:rsidP="0047638A">
      <w:pPr>
        <w:spacing w:before="0" w:after="0" w:line="276" w:lineRule="auto"/>
        <w:ind w:left="720"/>
        <w:rPr>
          <w:rFonts w:cs="Arial"/>
          <w:szCs w:val="24"/>
        </w:rPr>
      </w:pPr>
    </w:p>
    <w:p w14:paraId="55E7AB9D" w14:textId="77777777" w:rsidR="0047638A" w:rsidRPr="00032CF3" w:rsidRDefault="0047638A" w:rsidP="0047638A">
      <w:pPr>
        <w:spacing w:before="0" w:after="0" w:line="276" w:lineRule="auto"/>
        <w:ind w:left="720"/>
        <w:rPr>
          <w:rFonts w:cs="Arial"/>
          <w:szCs w:val="24"/>
        </w:rPr>
      </w:pPr>
      <w:r w:rsidRPr="00032CF3">
        <w:rPr>
          <w:rFonts w:cs="Arial"/>
          <w:szCs w:val="24"/>
        </w:rPr>
        <w:t xml:space="preserve">The processing is necessary for “health or social care purposes”, these mean the purposes of: </w:t>
      </w:r>
    </w:p>
    <w:p w14:paraId="33AF87D1" w14:textId="77777777" w:rsidR="0047638A" w:rsidRPr="00032CF3" w:rsidRDefault="0047638A" w:rsidP="00962AE5">
      <w:pPr>
        <w:pStyle w:val="ListParagraph"/>
        <w:numPr>
          <w:ilvl w:val="0"/>
          <w:numId w:val="23"/>
        </w:numPr>
        <w:tabs>
          <w:tab w:val="clear" w:pos="4890"/>
        </w:tabs>
        <w:spacing w:before="0" w:after="0" w:line="276" w:lineRule="auto"/>
        <w:jc w:val="left"/>
        <w:rPr>
          <w:rFonts w:ascii="Arial" w:hAnsi="Arial"/>
          <w:sz w:val="24"/>
          <w:szCs w:val="24"/>
        </w:rPr>
      </w:pPr>
      <w:r w:rsidRPr="00032CF3">
        <w:rPr>
          <w:rFonts w:ascii="Arial" w:hAnsi="Arial"/>
          <w:sz w:val="24"/>
          <w:szCs w:val="24"/>
        </w:rPr>
        <w:t>preventive or occupational medicine,</w:t>
      </w:r>
    </w:p>
    <w:p w14:paraId="6FFA3856" w14:textId="77777777" w:rsidR="0047638A" w:rsidRPr="00032CF3" w:rsidRDefault="0047638A" w:rsidP="00962AE5">
      <w:pPr>
        <w:pStyle w:val="ListParagraph"/>
        <w:numPr>
          <w:ilvl w:val="0"/>
          <w:numId w:val="23"/>
        </w:numPr>
        <w:tabs>
          <w:tab w:val="clear" w:pos="4890"/>
        </w:tabs>
        <w:spacing w:before="0" w:after="0" w:line="276" w:lineRule="auto"/>
        <w:jc w:val="left"/>
        <w:rPr>
          <w:rFonts w:ascii="Arial" w:hAnsi="Arial"/>
          <w:sz w:val="24"/>
          <w:szCs w:val="24"/>
        </w:rPr>
      </w:pPr>
      <w:r w:rsidRPr="00032CF3">
        <w:rPr>
          <w:rFonts w:ascii="Arial" w:hAnsi="Arial"/>
          <w:sz w:val="24"/>
          <w:szCs w:val="24"/>
        </w:rPr>
        <w:t>medical diagnosis,</w:t>
      </w:r>
    </w:p>
    <w:p w14:paraId="6D502C28" w14:textId="77777777" w:rsidR="0047638A" w:rsidRPr="00032CF3" w:rsidRDefault="0047638A" w:rsidP="00962AE5">
      <w:pPr>
        <w:pStyle w:val="ListParagraph"/>
        <w:numPr>
          <w:ilvl w:val="0"/>
          <w:numId w:val="23"/>
        </w:numPr>
        <w:tabs>
          <w:tab w:val="clear" w:pos="4890"/>
        </w:tabs>
        <w:spacing w:before="0" w:after="0" w:line="276" w:lineRule="auto"/>
        <w:jc w:val="left"/>
        <w:rPr>
          <w:rFonts w:ascii="Arial" w:hAnsi="Arial"/>
          <w:sz w:val="24"/>
          <w:szCs w:val="24"/>
        </w:rPr>
      </w:pPr>
      <w:r w:rsidRPr="00032CF3">
        <w:rPr>
          <w:rFonts w:ascii="Arial" w:hAnsi="Arial"/>
          <w:sz w:val="24"/>
          <w:szCs w:val="24"/>
        </w:rPr>
        <w:t>the provision of health care or treatment,</w:t>
      </w:r>
    </w:p>
    <w:p w14:paraId="37BAF08B" w14:textId="77777777" w:rsidR="0047638A" w:rsidRPr="00032CF3" w:rsidRDefault="0047638A" w:rsidP="00962AE5">
      <w:pPr>
        <w:pStyle w:val="ListParagraph"/>
        <w:numPr>
          <w:ilvl w:val="0"/>
          <w:numId w:val="23"/>
        </w:numPr>
        <w:tabs>
          <w:tab w:val="clear" w:pos="4890"/>
        </w:tabs>
        <w:spacing w:before="0" w:after="0" w:line="276" w:lineRule="auto"/>
        <w:jc w:val="left"/>
        <w:rPr>
          <w:rFonts w:ascii="Arial" w:hAnsi="Arial"/>
          <w:sz w:val="24"/>
          <w:szCs w:val="24"/>
        </w:rPr>
      </w:pPr>
      <w:r w:rsidRPr="00032CF3">
        <w:rPr>
          <w:rFonts w:ascii="Arial" w:hAnsi="Arial"/>
          <w:sz w:val="24"/>
          <w:szCs w:val="24"/>
        </w:rPr>
        <w:lastRenderedPageBreak/>
        <w:t>the provision of social care, or</w:t>
      </w:r>
    </w:p>
    <w:p w14:paraId="19AAE1A2" w14:textId="77777777" w:rsidR="0047638A" w:rsidRPr="00032CF3" w:rsidRDefault="0047638A" w:rsidP="00962AE5">
      <w:pPr>
        <w:pStyle w:val="ListParagraph"/>
        <w:numPr>
          <w:ilvl w:val="0"/>
          <w:numId w:val="23"/>
        </w:numPr>
        <w:tabs>
          <w:tab w:val="clear" w:pos="4890"/>
        </w:tabs>
        <w:spacing w:before="0" w:after="0" w:line="276" w:lineRule="auto"/>
        <w:jc w:val="left"/>
        <w:rPr>
          <w:rFonts w:ascii="Arial" w:hAnsi="Arial"/>
          <w:sz w:val="24"/>
          <w:szCs w:val="24"/>
        </w:rPr>
      </w:pPr>
      <w:r w:rsidRPr="00032CF3">
        <w:rPr>
          <w:rFonts w:ascii="Arial" w:hAnsi="Arial"/>
          <w:sz w:val="24"/>
          <w:szCs w:val="24"/>
        </w:rPr>
        <w:t>the management of health care systems or services or social care systems or services</w:t>
      </w:r>
    </w:p>
    <w:p w14:paraId="4B9ED539" w14:textId="77777777" w:rsidR="0047638A" w:rsidRPr="00032CF3" w:rsidRDefault="0047638A" w:rsidP="0047638A">
      <w:pPr>
        <w:spacing w:before="0" w:after="0" w:line="276" w:lineRule="auto"/>
        <w:ind w:left="360" w:firstLine="360"/>
        <w:rPr>
          <w:rFonts w:cs="Arial"/>
          <w:szCs w:val="24"/>
        </w:rPr>
      </w:pPr>
    </w:p>
    <w:p w14:paraId="2766CF97" w14:textId="77777777" w:rsidR="0047638A" w:rsidRPr="00032CF3" w:rsidRDefault="0047638A" w:rsidP="0047638A">
      <w:pPr>
        <w:spacing w:before="0" w:after="0" w:line="276" w:lineRule="auto"/>
        <w:ind w:left="360" w:firstLine="360"/>
        <w:rPr>
          <w:rFonts w:cs="Arial"/>
          <w:szCs w:val="24"/>
        </w:rPr>
      </w:pPr>
      <w:r w:rsidRPr="00032CF3">
        <w:rPr>
          <w:rFonts w:cs="Arial"/>
          <w:szCs w:val="24"/>
        </w:rPr>
        <w:t xml:space="preserve">Special categories of personal data etc: DPA 2018 supplementary </w:t>
      </w:r>
    </w:p>
    <w:p w14:paraId="2E368C34" w14:textId="77777777" w:rsidR="0047638A" w:rsidRPr="00032CF3" w:rsidRDefault="0047638A" w:rsidP="0047638A">
      <w:pPr>
        <w:spacing w:before="0" w:after="0" w:line="276" w:lineRule="auto"/>
        <w:ind w:left="720"/>
        <w:rPr>
          <w:rFonts w:cs="Arial"/>
          <w:szCs w:val="24"/>
        </w:rPr>
      </w:pPr>
    </w:p>
    <w:p w14:paraId="7DAD7124" w14:textId="77777777" w:rsidR="0047638A" w:rsidRPr="00032CF3" w:rsidRDefault="0047638A" w:rsidP="0047638A">
      <w:pPr>
        <w:spacing w:before="0" w:after="0" w:line="276" w:lineRule="auto"/>
        <w:ind w:left="720"/>
        <w:jc w:val="both"/>
        <w:rPr>
          <w:rFonts w:cs="Arial"/>
          <w:szCs w:val="24"/>
        </w:rPr>
      </w:pPr>
      <w:r w:rsidRPr="00032CF3">
        <w:rPr>
          <w:rFonts w:cs="Arial"/>
          <w:szCs w:val="24"/>
        </w:rPr>
        <w:t xml:space="preserve">For the purposes of Article 9(2)(h) of the GDPR (processing for health or social care purposes etc), the circumstances in which the processing of special categories </w:t>
      </w:r>
      <w:r w:rsidR="00F84FBF" w:rsidRPr="00032CF3">
        <w:rPr>
          <w:rFonts w:cs="Arial"/>
          <w:szCs w:val="24"/>
        </w:rPr>
        <w:t xml:space="preserve">of </w:t>
      </w:r>
      <w:r w:rsidRPr="00032CF3">
        <w:rPr>
          <w:rFonts w:cs="Arial"/>
          <w:szCs w:val="24"/>
        </w:rPr>
        <w:t>personal data is carried out subject to the conditions and safeguards referred to in Article 9(3) of the GDPR (obligation of professional secrecy) include circumstances in which it is carried out:</w:t>
      </w:r>
    </w:p>
    <w:p w14:paraId="01DA7282" w14:textId="77777777" w:rsidR="0047638A" w:rsidRPr="00032CF3" w:rsidRDefault="0047638A" w:rsidP="00962AE5">
      <w:pPr>
        <w:pStyle w:val="ListParagraph"/>
        <w:numPr>
          <w:ilvl w:val="0"/>
          <w:numId w:val="21"/>
        </w:numPr>
        <w:tabs>
          <w:tab w:val="clear" w:pos="4890"/>
        </w:tabs>
        <w:spacing w:before="0" w:after="0" w:line="276" w:lineRule="auto"/>
        <w:jc w:val="left"/>
        <w:rPr>
          <w:rFonts w:ascii="Arial" w:hAnsi="Arial"/>
          <w:sz w:val="24"/>
          <w:szCs w:val="24"/>
        </w:rPr>
      </w:pPr>
      <w:r w:rsidRPr="00032CF3">
        <w:rPr>
          <w:rFonts w:ascii="Arial" w:hAnsi="Arial"/>
          <w:sz w:val="24"/>
          <w:szCs w:val="24"/>
        </w:rPr>
        <w:t>by or under the responsibility of a health professional or a social work professional, or</w:t>
      </w:r>
    </w:p>
    <w:p w14:paraId="3467A597" w14:textId="77777777" w:rsidR="0047638A" w:rsidRPr="00032CF3" w:rsidRDefault="0047638A" w:rsidP="00962AE5">
      <w:pPr>
        <w:pStyle w:val="ListParagraph"/>
        <w:numPr>
          <w:ilvl w:val="0"/>
          <w:numId w:val="21"/>
        </w:numPr>
        <w:tabs>
          <w:tab w:val="clear" w:pos="4890"/>
        </w:tabs>
        <w:spacing w:before="0" w:after="0" w:line="276" w:lineRule="auto"/>
        <w:jc w:val="left"/>
        <w:rPr>
          <w:rFonts w:ascii="Arial" w:hAnsi="Arial"/>
          <w:sz w:val="24"/>
          <w:szCs w:val="24"/>
        </w:rPr>
      </w:pPr>
      <w:r w:rsidRPr="00032CF3">
        <w:rPr>
          <w:rFonts w:ascii="Arial" w:hAnsi="Arial"/>
          <w:sz w:val="24"/>
          <w:szCs w:val="24"/>
        </w:rPr>
        <w:t>by another person who in the circumstances owes a duty of confidentiality under an enactment or rule of law.</w:t>
      </w:r>
    </w:p>
    <w:p w14:paraId="07486CD3" w14:textId="77777777" w:rsidR="009D39DC" w:rsidRPr="00032CF3" w:rsidRDefault="009D39DC" w:rsidP="004F2045">
      <w:pPr>
        <w:spacing w:before="0" w:after="0" w:line="276" w:lineRule="auto"/>
        <w:rPr>
          <w:rFonts w:cs="Arial"/>
          <w:color w:val="FF0000"/>
          <w:szCs w:val="24"/>
        </w:rPr>
      </w:pPr>
    </w:p>
    <w:p w14:paraId="00839267" w14:textId="77777777" w:rsidR="009D39DC" w:rsidRPr="00032CF3" w:rsidRDefault="009D39DC" w:rsidP="009D39DC">
      <w:pPr>
        <w:rPr>
          <w:rFonts w:cs="Arial"/>
          <w:b/>
          <w:szCs w:val="24"/>
          <w:lang w:val="en" w:eastAsia="en-GB"/>
        </w:rPr>
      </w:pPr>
      <w:r w:rsidRPr="00032CF3">
        <w:rPr>
          <w:rFonts w:cs="Arial"/>
          <w:b/>
          <w:szCs w:val="24"/>
        </w:rPr>
        <w:t xml:space="preserve">DPA (2018) s204 - </w:t>
      </w:r>
      <w:r w:rsidRPr="00032CF3">
        <w:rPr>
          <w:rFonts w:cs="Arial"/>
          <w:b/>
          <w:szCs w:val="24"/>
          <w:lang w:val="en" w:eastAsia="en-GB"/>
        </w:rPr>
        <w:t>Meaning of “health professional” and “social work professional”</w:t>
      </w:r>
    </w:p>
    <w:p w14:paraId="5294324A"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(1) In this Act, “health professional” means any of the following—</w:t>
      </w:r>
    </w:p>
    <w:p w14:paraId="1A5A158E"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(a)a registered medical practitioner;</w:t>
      </w:r>
    </w:p>
    <w:p w14:paraId="0CF9B145"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(b)a registered nurse or midwife;</w:t>
      </w:r>
    </w:p>
    <w:p w14:paraId="62125EE2"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(c)a registered dentist within the meaning of the Dentists Act 1984 (see section 53 of that Act);</w:t>
      </w:r>
    </w:p>
    <w:p w14:paraId="75CEF47E"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(d)a registered dispensing optician or a registered optometrist within the meaning of the Opticians Act 1989 (see section 36 of that Act);</w:t>
      </w:r>
    </w:p>
    <w:p w14:paraId="1F86714C"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(e)a registered osteopath with the meaning of the Osteopaths Act 1993 (see section 41 of that Act);</w:t>
      </w:r>
    </w:p>
    <w:p w14:paraId="03B53D44" w14:textId="77777777" w:rsidR="009D39DC" w:rsidRPr="00032CF3" w:rsidRDefault="009D39DC" w:rsidP="009D39DC">
      <w:pPr>
        <w:shd w:val="clear" w:color="auto" w:fill="FFFFFF"/>
        <w:spacing w:before="0" w:after="0" w:line="276" w:lineRule="auto"/>
        <w:rPr>
          <w:rFonts w:cs="Arial"/>
          <w:bCs w:val="0"/>
          <w:color w:val="000000"/>
          <w:szCs w:val="24"/>
          <w:lang w:val="en" w:eastAsia="en-GB"/>
        </w:rPr>
      </w:pPr>
      <w:r w:rsidRPr="00032CF3">
        <w:rPr>
          <w:rFonts w:cs="Arial"/>
          <w:bCs w:val="0"/>
          <w:color w:val="000000"/>
          <w:szCs w:val="24"/>
          <w:lang w:val="en" w:eastAsia="en-GB"/>
        </w:rPr>
        <w:t>(f)a registered chiropractor within the meaning of the Chiropractors Act 1994 (see section 43 of that Act);</w:t>
      </w:r>
    </w:p>
    <w:p w14:paraId="5AFC0636"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032CF3">
        <w:rPr>
          <w:rFonts w:cs="Arial"/>
          <w:bCs w:val="0"/>
          <w:color w:val="000000"/>
          <w:szCs w:val="24"/>
          <w:lang w:val="en" w:eastAsia="en-GB"/>
        </w:rPr>
        <w:t xml:space="preserve">(g)a </w:t>
      </w:r>
      <w:r w:rsidRPr="00EF4E34">
        <w:rPr>
          <w:rFonts w:cs="Arial"/>
          <w:bCs w:val="0"/>
          <w:color w:val="000000" w:themeColor="text1"/>
          <w:szCs w:val="24"/>
          <w:lang w:val="en" w:eastAsia="en-GB"/>
        </w:rPr>
        <w:t>person registered as a member of a profession to which the Health and Social Work Professions Order 2001 (</w:t>
      </w:r>
      <w:hyperlink r:id="rId32" w:tooltip="Go to item of legislation" w:history="1">
        <w:r w:rsidRPr="00EF4E34">
          <w:rPr>
            <w:rFonts w:cs="Arial"/>
            <w:bCs w:val="0"/>
            <w:color w:val="000000" w:themeColor="text1"/>
            <w:szCs w:val="24"/>
            <w:lang w:val="en" w:eastAsia="en-GB"/>
          </w:rPr>
          <w:t>S.I. 2002/254</w:t>
        </w:r>
      </w:hyperlink>
      <w:r w:rsidRPr="00EF4E34">
        <w:rPr>
          <w:rFonts w:cs="Arial"/>
          <w:bCs w:val="0"/>
          <w:color w:val="000000" w:themeColor="text1"/>
          <w:szCs w:val="24"/>
          <w:lang w:val="en" w:eastAsia="en-GB"/>
        </w:rPr>
        <w:t>) for the time being extends, other than the social work profession in England;</w:t>
      </w:r>
    </w:p>
    <w:p w14:paraId="11871B6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(h)a registered pharmacist or a registered pharmacy technician within the meaning of the Pharmacy Order 2010 (</w:t>
      </w:r>
      <w:hyperlink r:id="rId33" w:tooltip="Go to item of legislation" w:history="1">
        <w:r w:rsidRPr="00EF4E34">
          <w:rPr>
            <w:rFonts w:cs="Arial"/>
            <w:bCs w:val="0"/>
            <w:color w:val="000000" w:themeColor="text1"/>
            <w:szCs w:val="24"/>
            <w:lang w:val="en" w:eastAsia="en-GB"/>
          </w:rPr>
          <w:t>S.I. 2010/231</w:t>
        </w:r>
      </w:hyperlink>
      <w:r w:rsidRPr="00EF4E34">
        <w:rPr>
          <w:rFonts w:cs="Arial"/>
          <w:bCs w:val="0"/>
          <w:color w:val="000000" w:themeColor="text1"/>
          <w:szCs w:val="24"/>
          <w:lang w:val="en" w:eastAsia="en-GB"/>
        </w:rPr>
        <w:t>) (see article 3 of that Order);</w:t>
      </w:r>
    </w:p>
    <w:p w14:paraId="0733642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(i)a registered person within the meaning of the Pharmacy (Northern Ireland) Order 1976 (</w:t>
      </w:r>
      <w:hyperlink r:id="rId34" w:tooltip="Go to item of legislation" w:history="1">
        <w:r w:rsidRPr="00EF4E34">
          <w:rPr>
            <w:rFonts w:cs="Arial"/>
            <w:bCs w:val="0"/>
            <w:color w:val="000000" w:themeColor="text1"/>
            <w:szCs w:val="24"/>
            <w:lang w:val="en" w:eastAsia="en-GB"/>
          </w:rPr>
          <w:t>S.I. 1976/1213 (N.I. 22)</w:t>
        </w:r>
      </w:hyperlink>
      <w:r w:rsidRPr="00EF4E34">
        <w:rPr>
          <w:rFonts w:cs="Arial"/>
          <w:bCs w:val="0"/>
          <w:color w:val="000000" w:themeColor="text1"/>
          <w:szCs w:val="24"/>
          <w:lang w:val="en" w:eastAsia="en-GB"/>
        </w:rPr>
        <w:t>) (see Article 2 of that Order);</w:t>
      </w:r>
    </w:p>
    <w:p w14:paraId="59964AA4"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(j)a child psychotherapist;</w:t>
      </w:r>
    </w:p>
    <w:p w14:paraId="75BA55EF"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(k)a scientist employed by a health service body as head of a department.</w:t>
      </w:r>
    </w:p>
    <w:p w14:paraId="087FA24C"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(2)In this Act, “social work professional” means any of the following—</w:t>
      </w:r>
    </w:p>
    <w:p w14:paraId="2381E373" w14:textId="77777777" w:rsidR="00A53C66"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 xml:space="preserve">(a)a person registered as a social worker in England in the register maintained under the Health and Social </w:t>
      </w:r>
    </w:p>
    <w:p w14:paraId="48FF8233" w14:textId="77777777" w:rsidR="00A53C66" w:rsidRPr="00EF4E34" w:rsidRDefault="00A53C66" w:rsidP="009D39DC">
      <w:pPr>
        <w:shd w:val="clear" w:color="auto" w:fill="FFFFFF"/>
        <w:spacing w:before="0" w:after="0" w:line="276" w:lineRule="auto"/>
        <w:rPr>
          <w:rFonts w:cs="Arial"/>
          <w:bCs w:val="0"/>
          <w:color w:val="000000" w:themeColor="text1"/>
          <w:szCs w:val="24"/>
          <w:lang w:val="en" w:eastAsia="en-GB"/>
        </w:rPr>
      </w:pPr>
    </w:p>
    <w:p w14:paraId="0D32CD0D"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Work Professions Order 2001 (</w:t>
      </w:r>
      <w:hyperlink r:id="rId35" w:tooltip="Go to item of legislation" w:history="1">
        <w:r w:rsidRPr="00EF4E34">
          <w:rPr>
            <w:rFonts w:cs="Arial"/>
            <w:bCs w:val="0"/>
            <w:color w:val="000000" w:themeColor="text1"/>
            <w:szCs w:val="24"/>
            <w:lang w:val="en" w:eastAsia="en-GB"/>
          </w:rPr>
          <w:t>S.I. 2002/254</w:t>
        </w:r>
      </w:hyperlink>
      <w:r w:rsidRPr="00EF4E34">
        <w:rPr>
          <w:rFonts w:cs="Arial"/>
          <w:bCs w:val="0"/>
          <w:color w:val="000000" w:themeColor="text1"/>
          <w:szCs w:val="24"/>
          <w:lang w:val="en" w:eastAsia="en-GB"/>
        </w:rPr>
        <w:t>);</w:t>
      </w:r>
    </w:p>
    <w:p w14:paraId="70F11C20"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 xml:space="preserve">(b)a person registered as a social worker in the register maintained by Social Care Wales under section 80 of the </w:t>
      </w:r>
      <w:hyperlink r:id="rId36" w:tooltip="Go to item of legislation" w:history="1">
        <w:r w:rsidRPr="00EF4E34">
          <w:rPr>
            <w:rFonts w:cs="Arial"/>
            <w:bCs w:val="0"/>
            <w:color w:val="000000" w:themeColor="text1"/>
            <w:szCs w:val="24"/>
            <w:lang w:val="en" w:eastAsia="en-GB"/>
          </w:rPr>
          <w:t>Regulation and Inspection of Social Care (Wales) Act 2016 (anaw 2)</w:t>
        </w:r>
      </w:hyperlink>
      <w:r w:rsidRPr="00EF4E34">
        <w:rPr>
          <w:rFonts w:cs="Arial"/>
          <w:bCs w:val="0"/>
          <w:color w:val="000000" w:themeColor="text1"/>
          <w:szCs w:val="24"/>
          <w:lang w:val="en" w:eastAsia="en-GB"/>
        </w:rPr>
        <w:t>;</w:t>
      </w:r>
    </w:p>
    <w:p w14:paraId="6CD0DE80"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 xml:space="preserve">(c)a person registered as a social worker in the register maintained by the Scottish Social Services Council under section 44 of the Regulation of Care (Scotland) Act </w:t>
      </w:r>
      <w:hyperlink r:id="rId37" w:tooltip="Go to item of legislation" w:history="1">
        <w:r w:rsidRPr="00EF4E34">
          <w:rPr>
            <w:rFonts w:cs="Arial"/>
            <w:bCs w:val="0"/>
            <w:color w:val="000000" w:themeColor="text1"/>
            <w:szCs w:val="24"/>
            <w:lang w:val="en" w:eastAsia="en-GB"/>
          </w:rPr>
          <w:t>2001 (asp 8)</w:t>
        </w:r>
      </w:hyperlink>
      <w:r w:rsidRPr="00EF4E34">
        <w:rPr>
          <w:rFonts w:cs="Arial"/>
          <w:bCs w:val="0"/>
          <w:color w:val="000000" w:themeColor="text1"/>
          <w:szCs w:val="24"/>
          <w:lang w:val="en" w:eastAsia="en-GB"/>
        </w:rPr>
        <w:t>;</w:t>
      </w:r>
    </w:p>
    <w:p w14:paraId="23F4BD7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lastRenderedPageBreak/>
        <w:t xml:space="preserve">(d)a person registered as a social worker in the register maintained by the Northern Ireland Social Care Council under section 3 of the </w:t>
      </w:r>
      <w:hyperlink r:id="rId38" w:tooltip="Go to item of legislation" w:history="1">
        <w:r w:rsidRPr="00EF4E34">
          <w:rPr>
            <w:rFonts w:cs="Arial"/>
            <w:bCs w:val="0"/>
            <w:color w:val="000000" w:themeColor="text1"/>
            <w:szCs w:val="24"/>
            <w:lang w:val="en" w:eastAsia="en-GB"/>
          </w:rPr>
          <w:t>Health and Personal Social Services Act (Northern Ireland) 2001 (c. 3 (N.I.))</w:t>
        </w:r>
      </w:hyperlink>
      <w:r w:rsidRPr="00EF4E34">
        <w:rPr>
          <w:rFonts w:cs="Arial"/>
          <w:bCs w:val="0"/>
          <w:color w:val="000000" w:themeColor="text1"/>
          <w:szCs w:val="24"/>
          <w:lang w:val="en" w:eastAsia="en-GB"/>
        </w:rPr>
        <w:t>.</w:t>
      </w:r>
    </w:p>
    <w:p w14:paraId="7F15B73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(3)In subsection (1)(a) “registered medical practitioner” includes a person who is provisionally registered under section 15 or 21 of the Medical Act 1983 and is engaged in such employment as is mentioned in subsection (3) of that section.</w:t>
      </w:r>
    </w:p>
    <w:p w14:paraId="7F2317F7"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(4)In subsection (1)(k) “health service body” means any of the following</w:t>
      </w:r>
      <w:r w:rsidR="00F84FBF" w:rsidRPr="00EF4E34">
        <w:rPr>
          <w:rFonts w:cs="Arial"/>
          <w:bCs w:val="0"/>
          <w:color w:val="000000" w:themeColor="text1"/>
          <w:szCs w:val="24"/>
          <w:lang w:val="en" w:eastAsia="en-GB"/>
        </w:rPr>
        <w:t>:</w:t>
      </w:r>
      <w:r w:rsidRPr="00EF4E34">
        <w:rPr>
          <w:rFonts w:cs="Arial"/>
          <w:bCs w:val="0"/>
          <w:color w:val="000000" w:themeColor="text1"/>
          <w:szCs w:val="24"/>
          <w:lang w:val="en" w:eastAsia="en-GB"/>
        </w:rPr>
        <w:t>—</w:t>
      </w:r>
    </w:p>
    <w:p w14:paraId="005B4E27"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(a)the Secretary of State in relation to the exercise of functions under section 2A or 2B of, or paragraph 7C, 8 or 12 of Schedule 1 to, the National Health Service Act 2006;</w:t>
      </w:r>
    </w:p>
    <w:p w14:paraId="49D1E58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(b)a local authority in relation to the exercise of functions under section 2B or 111 of, or any of paragraphs 1 to 7B or 13 of Schedule 1 to, the National Health Service Act 2006;</w:t>
      </w:r>
    </w:p>
    <w:p w14:paraId="145FC1E5"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(c)a National Health Service trust first established under section 25 of the National Health Service Act 2006;</w:t>
      </w:r>
    </w:p>
    <w:p w14:paraId="389E1920"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(d)a Special Health Authority established under section 28 of the National Health Service Act 2006;</w:t>
      </w:r>
    </w:p>
    <w:p w14:paraId="2436BD8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(e)an NHS foundation trust;</w:t>
      </w:r>
    </w:p>
    <w:p w14:paraId="63121399"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(f)the National Institute for Health and Care Excellence;</w:t>
      </w:r>
    </w:p>
    <w:p w14:paraId="4786C4D3"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(g)the Health and Social Care Information Centre;</w:t>
      </w:r>
    </w:p>
    <w:p w14:paraId="1839B03E"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(h)a National Health Service trust first established under section 5 of the National Health Service and Community Care Act 1990;</w:t>
      </w:r>
    </w:p>
    <w:p w14:paraId="782AE8FA"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(i)a Local Health Board established under section 11 of the National Health Service (Wales) Act 2006;</w:t>
      </w:r>
    </w:p>
    <w:p w14:paraId="2138B057"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(j)a National Health Service trust first established under section 18 of the National Health Service (Wales) Act 2006;</w:t>
      </w:r>
    </w:p>
    <w:p w14:paraId="16D1B447"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(k)a Special Health Authority established under section 22 of the National Health Service (Wales) Act 2006;</w:t>
      </w:r>
    </w:p>
    <w:p w14:paraId="05FDC3E4"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(l)a Health Board within the meaning of the National Health Service (Scotland) Act 1978;</w:t>
      </w:r>
    </w:p>
    <w:p w14:paraId="7350A8DD"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(m)a Special Health Board within the meaning of the National Health Service (Scotland) Act 1978;</w:t>
      </w:r>
    </w:p>
    <w:p w14:paraId="786B1879"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(n)a National Health Service trust first established under section 12A of the National Health Service (Scotland) Act 1978;</w:t>
      </w:r>
    </w:p>
    <w:p w14:paraId="3F96D344"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(o)the managers of a State Hospital provided under section 102 of the National Health Service (Scotland) Act 1978;</w:t>
      </w:r>
    </w:p>
    <w:p w14:paraId="1833B48B"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 xml:space="preserve">(p)the Regional Health and Social Care Board established under section 7 of the </w:t>
      </w:r>
      <w:hyperlink r:id="rId39" w:tooltip="Go to item of legislation" w:history="1">
        <w:r w:rsidRPr="00EF4E34">
          <w:rPr>
            <w:rFonts w:cs="Arial"/>
            <w:bCs w:val="0"/>
            <w:color w:val="000000" w:themeColor="text1"/>
            <w:szCs w:val="24"/>
            <w:lang w:val="en" w:eastAsia="en-GB"/>
          </w:rPr>
          <w:t>Health and Social Care (Reform) Act (Northern Ireland) 2009 (c. 1 (N.I))</w:t>
        </w:r>
      </w:hyperlink>
      <w:r w:rsidRPr="00EF4E34">
        <w:rPr>
          <w:rFonts w:cs="Arial"/>
          <w:bCs w:val="0"/>
          <w:color w:val="000000" w:themeColor="text1"/>
          <w:szCs w:val="24"/>
          <w:lang w:val="en" w:eastAsia="en-GB"/>
        </w:rPr>
        <w:t>;</w:t>
      </w:r>
    </w:p>
    <w:p w14:paraId="12A1EDFF"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(q)a special health and social care agency established under the Health and Personal Social Services (Special Agencies) (Northern Ireland) Order 1990 (</w:t>
      </w:r>
      <w:hyperlink r:id="rId40" w:tooltip="Go to item of legislation" w:history="1">
        <w:r w:rsidRPr="00EF4E34">
          <w:rPr>
            <w:rFonts w:cs="Arial"/>
            <w:bCs w:val="0"/>
            <w:color w:val="000000" w:themeColor="text1"/>
            <w:szCs w:val="24"/>
            <w:lang w:val="en" w:eastAsia="en-GB"/>
          </w:rPr>
          <w:t>S.I. 1990/247 (N.I. 3)</w:t>
        </w:r>
      </w:hyperlink>
      <w:r w:rsidRPr="00EF4E34">
        <w:rPr>
          <w:rFonts w:cs="Arial"/>
          <w:bCs w:val="0"/>
          <w:color w:val="000000" w:themeColor="text1"/>
          <w:szCs w:val="24"/>
          <w:lang w:val="en" w:eastAsia="en-GB"/>
        </w:rPr>
        <w:t>);</w:t>
      </w:r>
    </w:p>
    <w:p w14:paraId="69341DA3" w14:textId="77777777" w:rsidR="009D39DC" w:rsidRPr="00EF4E34" w:rsidRDefault="009D39DC" w:rsidP="009D39DC">
      <w:pPr>
        <w:shd w:val="clear" w:color="auto" w:fill="FFFFFF"/>
        <w:spacing w:before="0" w:after="0" w:line="276" w:lineRule="auto"/>
        <w:rPr>
          <w:rFonts w:cs="Arial"/>
          <w:bCs w:val="0"/>
          <w:color w:val="000000" w:themeColor="text1"/>
          <w:szCs w:val="24"/>
          <w:lang w:val="en" w:eastAsia="en-GB"/>
        </w:rPr>
      </w:pPr>
      <w:r w:rsidRPr="00EF4E34">
        <w:rPr>
          <w:rFonts w:cs="Arial"/>
          <w:bCs w:val="0"/>
          <w:color w:val="000000" w:themeColor="text1"/>
          <w:szCs w:val="24"/>
          <w:lang w:val="en" w:eastAsia="en-GB"/>
        </w:rPr>
        <w:t>(r)a Health and Social Care trust established under Article 10 of the Health and Personal Social Services (Northern Ireland) Order 1991 (</w:t>
      </w:r>
      <w:hyperlink r:id="rId41" w:tooltip="Go to item of legislation" w:history="1">
        <w:r w:rsidRPr="00EF4E34">
          <w:rPr>
            <w:rFonts w:cs="Arial"/>
            <w:bCs w:val="0"/>
            <w:color w:val="000000" w:themeColor="text1"/>
            <w:szCs w:val="24"/>
            <w:lang w:val="en" w:eastAsia="en-GB"/>
          </w:rPr>
          <w:t>S.I. 1991/194 (N.I. 1)</w:t>
        </w:r>
      </w:hyperlink>
      <w:r w:rsidRPr="00EF4E34">
        <w:rPr>
          <w:rFonts w:cs="Arial"/>
          <w:bCs w:val="0"/>
          <w:color w:val="000000" w:themeColor="text1"/>
          <w:szCs w:val="24"/>
          <w:lang w:val="en" w:eastAsia="en-GB"/>
        </w:rPr>
        <w:t>).</w:t>
      </w:r>
    </w:p>
    <w:p w14:paraId="0F61D36E" w14:textId="77777777" w:rsidR="000B5F9D" w:rsidRPr="00EF4E34" w:rsidRDefault="000B5F9D">
      <w:pPr>
        <w:spacing w:before="0" w:after="160" w:line="259" w:lineRule="auto"/>
        <w:rPr>
          <w:rFonts w:eastAsiaTheme="majorEastAsia" w:cs="Arial"/>
          <w:b/>
          <w:bCs w:val="0"/>
          <w:color w:val="000000" w:themeColor="text1"/>
          <w:sz w:val="28"/>
        </w:rPr>
      </w:pPr>
      <w:r w:rsidRPr="00EF4E34">
        <w:rPr>
          <w:rFonts w:cs="Arial"/>
          <w:color w:val="000000" w:themeColor="text1"/>
        </w:rPr>
        <w:br w:type="page"/>
      </w:r>
    </w:p>
    <w:p w14:paraId="36F8D4F0" w14:textId="77777777" w:rsidR="004F2045" w:rsidRPr="00032CF3" w:rsidRDefault="004F2045" w:rsidP="004F2045">
      <w:pPr>
        <w:pStyle w:val="Heading2"/>
        <w:rPr>
          <w:rFonts w:cs="Arial"/>
        </w:rPr>
      </w:pPr>
      <w:bookmarkStart w:id="74" w:name="_Toc10223084"/>
      <w:r w:rsidRPr="00032CF3">
        <w:rPr>
          <w:rFonts w:cs="Arial"/>
        </w:rPr>
        <w:lastRenderedPageBreak/>
        <w:t xml:space="preserve">Appendix </w:t>
      </w:r>
      <w:r w:rsidR="000F405E" w:rsidRPr="00032CF3">
        <w:rPr>
          <w:rFonts w:cs="Arial"/>
        </w:rPr>
        <w:t>F</w:t>
      </w:r>
      <w:r w:rsidRPr="00032CF3">
        <w:rPr>
          <w:rFonts w:cs="Arial"/>
        </w:rPr>
        <w:t xml:space="preserve"> – Common Law</w:t>
      </w:r>
      <w:bookmarkEnd w:id="74"/>
    </w:p>
    <w:p w14:paraId="030DDAF3" w14:textId="59F48E23" w:rsidR="004F2045" w:rsidRPr="00032CF3" w:rsidRDefault="004F2045" w:rsidP="004F2045">
      <w:pPr>
        <w:pStyle w:val="PlainText"/>
        <w:spacing w:before="0" w:after="0" w:line="276" w:lineRule="auto"/>
        <w:jc w:val="both"/>
        <w:rPr>
          <w:rFonts w:ascii="Arial" w:hAnsi="Arial" w:cs="Arial"/>
          <w:sz w:val="24"/>
          <w:szCs w:val="22"/>
        </w:rPr>
      </w:pPr>
      <w:r w:rsidRPr="00032CF3">
        <w:rPr>
          <w:rFonts w:ascii="Arial" w:hAnsi="Arial" w:cs="Arial"/>
          <w:sz w:val="24"/>
          <w:szCs w:val="22"/>
        </w:rPr>
        <w:t>Common law (case law) is law that has developed through the courts making decisions on legal points in specific cases</w:t>
      </w:r>
      <w:r w:rsidR="00A967CD">
        <w:rPr>
          <w:rFonts w:ascii="Arial" w:hAnsi="Arial" w:cs="Arial"/>
          <w:sz w:val="24"/>
          <w:szCs w:val="22"/>
        </w:rPr>
        <w:t xml:space="preserve"> </w:t>
      </w:r>
      <w:r w:rsidRPr="00032CF3">
        <w:rPr>
          <w:rFonts w:ascii="Arial" w:hAnsi="Arial" w:cs="Arial"/>
          <w:sz w:val="24"/>
          <w:szCs w:val="22"/>
        </w:rPr>
        <w:t xml:space="preserve">and creating binding precedents. It differs from statutory law, which is determined by acts of parliament. </w:t>
      </w:r>
    </w:p>
    <w:p w14:paraId="45955500" w14:textId="77777777" w:rsidR="004F2045" w:rsidRPr="00032CF3" w:rsidRDefault="004F2045" w:rsidP="004F2045">
      <w:pPr>
        <w:pStyle w:val="PlainText"/>
        <w:spacing w:before="0" w:after="0" w:line="276" w:lineRule="auto"/>
        <w:jc w:val="both"/>
        <w:rPr>
          <w:rFonts w:ascii="Arial" w:hAnsi="Arial" w:cs="Arial"/>
          <w:sz w:val="24"/>
          <w:szCs w:val="22"/>
        </w:rPr>
      </w:pPr>
    </w:p>
    <w:p w14:paraId="0CEAA7BD" w14:textId="77777777" w:rsidR="004F2045" w:rsidRPr="00032CF3" w:rsidRDefault="004F2045" w:rsidP="004F2045">
      <w:pPr>
        <w:pStyle w:val="PlainText"/>
        <w:spacing w:before="0" w:after="0" w:line="276" w:lineRule="auto"/>
        <w:jc w:val="both"/>
        <w:rPr>
          <w:rFonts w:ascii="Arial" w:hAnsi="Arial" w:cs="Arial"/>
          <w:sz w:val="24"/>
          <w:szCs w:val="22"/>
        </w:rPr>
      </w:pPr>
      <w:r w:rsidRPr="00032CF3">
        <w:rPr>
          <w:rFonts w:ascii="Arial" w:hAnsi="Arial" w:cs="Arial"/>
          <w:sz w:val="24"/>
          <w:szCs w:val="22"/>
        </w:rPr>
        <w:t xml:space="preserve">Essentially, the common law duty of confidentiality means that when someone (such as a patient) shares personal information in confidence (to a health care professional, for example) it must not be disclosed without some form of legal authority or justification. In practice, this usually means that the information cannot be disclosed without that person’s consent — unless there is another valid legal basis, such </w:t>
      </w:r>
      <w:r w:rsidR="00837835" w:rsidRPr="00032CF3">
        <w:rPr>
          <w:rFonts w:ascii="Arial" w:hAnsi="Arial" w:cs="Arial"/>
          <w:sz w:val="24"/>
          <w:szCs w:val="22"/>
        </w:rPr>
        <w:t>as a</w:t>
      </w:r>
      <w:r w:rsidRPr="00032CF3">
        <w:rPr>
          <w:rFonts w:ascii="Arial" w:hAnsi="Arial" w:cs="Arial"/>
          <w:sz w:val="24"/>
          <w:szCs w:val="22"/>
        </w:rPr>
        <w:t xml:space="preserve"> court order, or overriding public interest. </w:t>
      </w:r>
      <w:r w:rsidR="00174EBF">
        <w:rPr>
          <w:rFonts w:ascii="Arial" w:hAnsi="Arial" w:cs="Arial"/>
          <w:sz w:val="24"/>
          <w:szCs w:val="22"/>
        </w:rPr>
        <w:t>Where a patient has agreed to a programme of treatment and care then it is assumed that they have agreed to the use of their CPI to support that programme, this is known as implied consent.</w:t>
      </w:r>
    </w:p>
    <w:p w14:paraId="2131B3C3" w14:textId="77777777" w:rsidR="004F2045" w:rsidRPr="00032CF3" w:rsidRDefault="004F2045" w:rsidP="004F2045">
      <w:pPr>
        <w:pStyle w:val="PlainText"/>
        <w:spacing w:before="0" w:after="0" w:line="276" w:lineRule="auto"/>
        <w:jc w:val="both"/>
        <w:rPr>
          <w:rFonts w:ascii="Arial" w:hAnsi="Arial" w:cs="Arial"/>
          <w:sz w:val="24"/>
          <w:szCs w:val="22"/>
        </w:rPr>
      </w:pPr>
    </w:p>
    <w:p w14:paraId="0AC9F8DD" w14:textId="77777777" w:rsidR="004F2045" w:rsidRPr="00032CF3" w:rsidRDefault="004F2045" w:rsidP="004F2045">
      <w:pPr>
        <w:pStyle w:val="PlainText"/>
        <w:spacing w:before="0" w:after="0" w:line="276" w:lineRule="auto"/>
        <w:jc w:val="both"/>
        <w:rPr>
          <w:rFonts w:ascii="Arial" w:hAnsi="Arial" w:cs="Arial"/>
          <w:sz w:val="24"/>
          <w:szCs w:val="22"/>
        </w:rPr>
      </w:pPr>
      <w:r w:rsidRPr="00032CF3">
        <w:rPr>
          <w:rFonts w:ascii="Arial" w:hAnsi="Arial" w:cs="Arial"/>
          <w:sz w:val="24"/>
          <w:szCs w:val="22"/>
        </w:rPr>
        <w:t xml:space="preserve">In certain situations, for example for research, approval from the Health Research Authority (HRA) may be obtained under Section 251 of the National Health Service Act 2006, on the recommendation of the HRA’s Confidentiality Advisory Group (CAG). </w:t>
      </w:r>
    </w:p>
    <w:p w14:paraId="015CF288" w14:textId="77777777" w:rsidR="0047638A" w:rsidRPr="00032CF3" w:rsidRDefault="0047638A">
      <w:pPr>
        <w:spacing w:before="0" w:after="160" w:line="259" w:lineRule="auto"/>
        <w:rPr>
          <w:rFonts w:cs="Arial"/>
          <w:color w:val="FF0000"/>
        </w:rPr>
      </w:pPr>
      <w:r w:rsidRPr="00032CF3">
        <w:rPr>
          <w:rFonts w:cs="Arial"/>
          <w:color w:val="FF0000"/>
        </w:rPr>
        <w:br w:type="page"/>
      </w:r>
    </w:p>
    <w:p w14:paraId="65D10061" w14:textId="77777777" w:rsidR="0047638A" w:rsidRPr="00032CF3" w:rsidRDefault="0047638A" w:rsidP="0047638A">
      <w:pPr>
        <w:pStyle w:val="Heading2"/>
        <w:rPr>
          <w:rFonts w:cs="Arial"/>
        </w:rPr>
      </w:pPr>
      <w:bookmarkStart w:id="75" w:name="_Toc10223085"/>
      <w:r w:rsidRPr="00032CF3">
        <w:rPr>
          <w:rFonts w:cs="Arial"/>
        </w:rPr>
        <w:lastRenderedPageBreak/>
        <w:t xml:space="preserve">Appendix </w:t>
      </w:r>
      <w:r w:rsidR="000F405E" w:rsidRPr="00032CF3">
        <w:rPr>
          <w:rFonts w:cs="Arial"/>
        </w:rPr>
        <w:t>G</w:t>
      </w:r>
      <w:r w:rsidRPr="00032CF3">
        <w:rPr>
          <w:rFonts w:cs="Arial"/>
        </w:rPr>
        <w:t xml:space="preserve"> - Consent and applicable GDPR Recitals</w:t>
      </w:r>
      <w:bookmarkEnd w:id="75"/>
    </w:p>
    <w:p w14:paraId="1E087331" w14:textId="77777777" w:rsidR="00324A2C" w:rsidRPr="00032CF3" w:rsidRDefault="00324A2C" w:rsidP="00EB485A">
      <w:pPr>
        <w:spacing w:before="0" w:after="0" w:line="276" w:lineRule="auto"/>
        <w:jc w:val="both"/>
        <w:rPr>
          <w:rFonts w:cs="Arial"/>
          <w:b/>
          <w:szCs w:val="22"/>
        </w:rPr>
      </w:pPr>
      <w:r w:rsidRPr="00032CF3">
        <w:rPr>
          <w:rFonts w:cs="Arial"/>
          <w:b/>
          <w:szCs w:val="22"/>
        </w:rPr>
        <w:t xml:space="preserve">Do not use consent as a condition for processing to meet GDPR/DPA requirements, unless in exceptional circumstances </w:t>
      </w:r>
      <w:r w:rsidRPr="00032CF3">
        <w:rPr>
          <w:rStyle w:val="FootnoteReference"/>
          <w:rFonts w:cs="Arial"/>
          <w:b/>
          <w:szCs w:val="22"/>
        </w:rPr>
        <w:footnoteReference w:id="16"/>
      </w:r>
      <w:r w:rsidRPr="00032CF3">
        <w:rPr>
          <w:rFonts w:eastAsia="Calibri" w:cs="Arial"/>
          <w:b/>
          <w:szCs w:val="22"/>
        </w:rPr>
        <w:t xml:space="preserve"> The most appropriate basis for lawful processing that is available to publicly funded and/or statutory health and social care organisations in the delivery of their functions is Article 6(1)(e)’…for the performance of a task carried out in the public interest or in the exercise of official authority…..’</w:t>
      </w:r>
    </w:p>
    <w:p w14:paraId="4537D799" w14:textId="77777777" w:rsidR="0047638A" w:rsidRPr="00032CF3" w:rsidRDefault="0047638A" w:rsidP="0047638A">
      <w:pPr>
        <w:spacing w:before="0" w:after="0" w:line="276" w:lineRule="auto"/>
        <w:ind w:left="567" w:hanging="567"/>
        <w:jc w:val="both"/>
        <w:rPr>
          <w:rFonts w:cs="Arial"/>
          <w:szCs w:val="22"/>
        </w:rPr>
      </w:pPr>
    </w:p>
    <w:p w14:paraId="0A56D649" w14:textId="77777777" w:rsidR="0047638A" w:rsidRPr="00032CF3" w:rsidRDefault="0047638A" w:rsidP="0047638A">
      <w:pPr>
        <w:spacing w:before="0" w:after="0" w:line="276" w:lineRule="auto"/>
        <w:ind w:left="567" w:hanging="567"/>
        <w:jc w:val="both"/>
        <w:rPr>
          <w:rFonts w:cs="Arial"/>
          <w:bCs w:val="0"/>
          <w:szCs w:val="22"/>
        </w:rPr>
      </w:pPr>
      <w:r w:rsidRPr="00032CF3">
        <w:rPr>
          <w:rFonts w:cs="Arial"/>
          <w:szCs w:val="22"/>
        </w:rPr>
        <w:t>(32)</w:t>
      </w:r>
      <w:r w:rsidRPr="00032CF3">
        <w:rPr>
          <w:rFonts w:cs="Arial"/>
          <w:szCs w:val="22"/>
        </w:rPr>
        <w:tab/>
        <w:t>Consent should be given by a clear affirmative act establishing a freely given, specific, informed and unambiguous indication of the data subject's agreement to the processing of personal data relating to him or her, such as by a written statement, including by electronic means, or an oral statement. This could include ticking a box when visiting an internet website, choosing technical settings for information society services or another statement or conduct which clearly indicates in this context the data subject's acceptance of the proposed processing of his or her personal data. Silence, pre-ticked boxes or inactivity should not therefore constitute consent. Consent should cover all processing activities carried out for the same purpose or purposes. When the processing has multiple purposes, consent should be given for all of them. If the data subject's consent is to be given following a request by electronic means, the request must be clear, concise and not unnecessarily disruptive to the use of the service for which it is provided.</w:t>
      </w:r>
    </w:p>
    <w:p w14:paraId="40676FDB" w14:textId="77777777" w:rsidR="0047638A" w:rsidRPr="00032CF3" w:rsidRDefault="0047638A" w:rsidP="0047638A">
      <w:pPr>
        <w:spacing w:before="0" w:after="0" w:line="276" w:lineRule="auto"/>
        <w:jc w:val="both"/>
        <w:rPr>
          <w:rFonts w:cs="Arial"/>
          <w:bCs w:val="0"/>
          <w:szCs w:val="22"/>
        </w:rPr>
      </w:pPr>
      <w:r w:rsidRPr="00032CF3">
        <w:rPr>
          <w:rFonts w:cs="Arial"/>
          <w:szCs w:val="22"/>
        </w:rPr>
        <w:t> </w:t>
      </w:r>
    </w:p>
    <w:p w14:paraId="5B3B0D62" w14:textId="77777777" w:rsidR="0047638A" w:rsidRPr="00032CF3" w:rsidRDefault="0047638A" w:rsidP="0047638A">
      <w:pPr>
        <w:spacing w:before="0" w:after="0" w:line="276" w:lineRule="auto"/>
        <w:ind w:left="567" w:hanging="567"/>
        <w:jc w:val="both"/>
        <w:rPr>
          <w:rFonts w:cs="Arial"/>
          <w:bCs w:val="0"/>
          <w:szCs w:val="22"/>
        </w:rPr>
      </w:pPr>
      <w:r w:rsidRPr="00032CF3">
        <w:rPr>
          <w:rFonts w:cs="Arial"/>
          <w:szCs w:val="22"/>
        </w:rPr>
        <w:t xml:space="preserve">(42) </w:t>
      </w:r>
      <w:r w:rsidRPr="00032CF3">
        <w:rPr>
          <w:rFonts w:cs="Arial"/>
          <w:szCs w:val="22"/>
        </w:rPr>
        <w:tab/>
        <w:t xml:space="preserve">Where processing is based on the data subject's consent, the controller should be able to demonstrate that the data subject has given consent to the processing operation. In particular in the context of a written declaration on another matter, safeguards should ensure that the data subject is aware of the fact that and the extent to which consent is given. In accordance with Council Directive 93/13/EEC (1) a declaration of consent pre- formulated by the controller should be provided in an intelligible and easily accessible form, using clear and plain language and it should not contain unfair terms. For consent to be informed, the data subject should be aware at least of the identity of the controller and the purposes of the processing for which the personal data are intended. Consent should not be regarded as freely given if the data subject has no genuine or free choice or is unable to refuse or withdraw consent without detriment. </w:t>
      </w:r>
    </w:p>
    <w:p w14:paraId="037D46DE" w14:textId="77777777" w:rsidR="0047638A" w:rsidRPr="00032CF3" w:rsidRDefault="0047638A" w:rsidP="0047638A">
      <w:pPr>
        <w:spacing w:before="0" w:after="0" w:line="276" w:lineRule="auto"/>
        <w:jc w:val="both"/>
        <w:rPr>
          <w:rFonts w:cs="Arial"/>
          <w:bCs w:val="0"/>
          <w:szCs w:val="22"/>
        </w:rPr>
      </w:pPr>
      <w:r w:rsidRPr="00032CF3">
        <w:rPr>
          <w:rFonts w:cs="Arial"/>
          <w:szCs w:val="22"/>
        </w:rPr>
        <w:t> </w:t>
      </w:r>
    </w:p>
    <w:p w14:paraId="78145317" w14:textId="77777777" w:rsidR="0047638A" w:rsidRPr="00032CF3" w:rsidRDefault="0047638A" w:rsidP="000B5F9D">
      <w:pPr>
        <w:spacing w:before="0" w:after="0" w:line="276" w:lineRule="auto"/>
        <w:ind w:left="567" w:hanging="567"/>
        <w:jc w:val="both"/>
        <w:rPr>
          <w:rFonts w:cs="Arial"/>
          <w:sz w:val="28"/>
        </w:rPr>
      </w:pPr>
      <w:r w:rsidRPr="00032CF3">
        <w:rPr>
          <w:rFonts w:cs="Arial"/>
          <w:szCs w:val="22"/>
        </w:rPr>
        <w:t xml:space="preserve">(43) </w:t>
      </w:r>
      <w:r w:rsidRPr="00032CF3">
        <w:rPr>
          <w:rFonts w:cs="Arial"/>
          <w:szCs w:val="22"/>
        </w:rPr>
        <w:tab/>
        <w:t>In order to ensure that consent is freely given, consent should not provide a valid legal ground for the processing of personal data in a specific case where there is a clear imbalance between the data subject and the controller, in particular where the controller is a public authority and it is therefore unlikely that consent was freely given in all the circumstances of that specific situation. Consent is presumed not to be freely given if it does not allow separate consent to be given to different personal data processing operations despite it being appropriate in the individual case, or if the performance of a contract, including the provision of a service, is dependent on the consent despite such consent not being necessary for such performance.</w:t>
      </w:r>
    </w:p>
    <w:p w14:paraId="3EC48C25" w14:textId="77777777" w:rsidR="0047638A" w:rsidRPr="00032CF3" w:rsidRDefault="0047638A" w:rsidP="00EF4728">
      <w:pPr>
        <w:spacing w:before="0" w:after="160" w:line="259" w:lineRule="auto"/>
        <w:rPr>
          <w:rFonts w:cs="Arial"/>
        </w:rPr>
        <w:sectPr w:rsidR="0047638A" w:rsidRPr="00032CF3" w:rsidSect="0063595A">
          <w:headerReference w:type="default" r:id="rId42"/>
          <w:pgSz w:w="11900" w:h="16840"/>
          <w:pgMar w:top="993" w:right="1127" w:bottom="709" w:left="993" w:header="0" w:footer="191" w:gutter="0"/>
          <w:cols w:space="708"/>
          <w:docGrid w:linePitch="326"/>
        </w:sectPr>
      </w:pPr>
    </w:p>
    <w:p w14:paraId="15414BC6" w14:textId="77777777" w:rsidR="00CB5A05" w:rsidRDefault="009F4AC4" w:rsidP="00CB5A05">
      <w:pPr>
        <w:pStyle w:val="Heading2"/>
        <w:rPr>
          <w:rFonts w:cs="Arial"/>
        </w:rPr>
      </w:pPr>
      <w:bookmarkStart w:id="76" w:name="_Toc10223086"/>
      <w:r w:rsidRPr="00032CF3">
        <w:rPr>
          <w:rFonts w:cs="Arial"/>
        </w:rPr>
        <w:lastRenderedPageBreak/>
        <w:t xml:space="preserve">Appendix </w:t>
      </w:r>
      <w:r w:rsidR="000F405E" w:rsidRPr="00032CF3">
        <w:rPr>
          <w:rFonts w:cs="Arial"/>
        </w:rPr>
        <w:t>H</w:t>
      </w:r>
      <w:r w:rsidRPr="00032CF3">
        <w:rPr>
          <w:rFonts w:cs="Arial"/>
        </w:rPr>
        <w:t xml:space="preserve"> – Supporting Tools and Templates</w:t>
      </w:r>
      <w:bookmarkEnd w:id="76"/>
      <w:r w:rsidRPr="00032CF3">
        <w:rPr>
          <w:rFonts w:cs="Arial"/>
        </w:rPr>
        <w:t xml:space="preserve"> </w:t>
      </w:r>
    </w:p>
    <w:p w14:paraId="0504A6BA" w14:textId="77777777" w:rsidR="00E12E4E" w:rsidRDefault="00E12E4E" w:rsidP="00E12E4E">
      <w:pPr>
        <w:rPr>
          <w:rFonts w:eastAsiaTheme="majorEastAsia"/>
        </w:rPr>
      </w:pPr>
      <w:r>
        <w:rPr>
          <w:rFonts w:eastAsiaTheme="majorEastAsia"/>
        </w:rPr>
        <w:t>Please see separate document for this appendix.</w:t>
      </w:r>
    </w:p>
    <w:p w14:paraId="1E7CDF1A" w14:textId="77777777" w:rsidR="00E12E4E" w:rsidRDefault="00E12E4E">
      <w:pPr>
        <w:spacing w:before="0" w:after="160" w:line="259" w:lineRule="auto"/>
        <w:rPr>
          <w:rFonts w:eastAsiaTheme="majorEastAsia" w:cs="Arial"/>
          <w:b/>
          <w:bCs w:val="0"/>
          <w:color w:val="7C2855"/>
          <w:sz w:val="28"/>
        </w:rPr>
      </w:pPr>
      <w:r>
        <w:rPr>
          <w:rFonts w:eastAsiaTheme="majorEastAsia" w:cs="Arial"/>
          <w:b/>
          <w:bCs w:val="0"/>
          <w:color w:val="7C2855"/>
          <w:sz w:val="28"/>
        </w:rPr>
        <w:br w:type="page"/>
      </w:r>
    </w:p>
    <w:p w14:paraId="37879E65" w14:textId="77777777" w:rsidR="009D1D87" w:rsidRDefault="009D1D87">
      <w:pPr>
        <w:spacing w:before="0" w:after="160" w:line="259" w:lineRule="auto"/>
        <w:rPr>
          <w:rFonts w:eastAsiaTheme="majorEastAsia" w:cs="Arial"/>
          <w:b/>
          <w:bCs w:val="0"/>
          <w:color w:val="7C2855"/>
          <w:sz w:val="28"/>
        </w:rPr>
      </w:pPr>
    </w:p>
    <w:p w14:paraId="68D45A23" w14:textId="77777777" w:rsidR="00E16B46" w:rsidRPr="00032CF3" w:rsidRDefault="00F46166" w:rsidP="00F46166">
      <w:pPr>
        <w:pStyle w:val="Heading2"/>
        <w:rPr>
          <w:rFonts w:cs="Arial"/>
        </w:rPr>
      </w:pPr>
      <w:bookmarkStart w:id="77" w:name="_Toc10223087"/>
      <w:r w:rsidRPr="00032CF3">
        <w:rPr>
          <w:rFonts w:cs="Arial"/>
        </w:rPr>
        <w:t>Appendix I – GDPR Article 21 – Right to Object</w:t>
      </w:r>
      <w:bookmarkEnd w:id="77"/>
    </w:p>
    <w:p w14:paraId="3592DB90" w14:textId="77777777" w:rsidR="00F46166" w:rsidRPr="00332492" w:rsidRDefault="00F46166" w:rsidP="00B914EE">
      <w:pPr>
        <w:pStyle w:val="ListParagraph"/>
        <w:numPr>
          <w:ilvl w:val="0"/>
          <w:numId w:val="33"/>
        </w:numPr>
        <w:spacing w:before="240" w:after="240"/>
        <w:ind w:left="426" w:hanging="426"/>
        <w:rPr>
          <w:rFonts w:ascii="Arial" w:hAnsi="Arial"/>
          <w:color w:val="000000" w:themeColor="text1"/>
          <w:sz w:val="24"/>
          <w:lang w:val="en-US" w:eastAsia="en-GB"/>
        </w:rPr>
      </w:pPr>
      <w:r w:rsidRPr="00032CF3">
        <w:rPr>
          <w:rFonts w:ascii="Arial" w:hAnsi="Arial"/>
          <w:color w:val="999999"/>
          <w:sz w:val="24"/>
          <w:vertAlign w:val="superscript"/>
          <w:lang w:val="en-US" w:eastAsia="en-GB"/>
        </w:rPr>
        <w:t>1</w:t>
      </w:r>
      <w:r w:rsidRPr="00032CF3">
        <w:rPr>
          <w:rFonts w:ascii="Arial" w:hAnsi="Arial"/>
          <w:sz w:val="24"/>
          <w:lang w:val="en-US" w:eastAsia="en-GB"/>
        </w:rPr>
        <w:t xml:space="preserve">The data subject shall have the right to object, on grounds relating to his or her particular situation, at any </w:t>
      </w:r>
      <w:r w:rsidRPr="00332492">
        <w:rPr>
          <w:rFonts w:ascii="Arial" w:hAnsi="Arial"/>
          <w:color w:val="000000" w:themeColor="text1"/>
          <w:sz w:val="24"/>
          <w:lang w:val="en-US" w:eastAsia="en-GB"/>
        </w:rPr>
        <w:t xml:space="preserve">time to processing of personal data concerning him or her which is based on point (e) or (f) of </w:t>
      </w:r>
      <w:hyperlink r:id="rId43" w:history="1">
        <w:r w:rsidRPr="00332492">
          <w:rPr>
            <w:rFonts w:ascii="Arial" w:hAnsi="Arial"/>
            <w:color w:val="000000" w:themeColor="text1"/>
            <w:sz w:val="24"/>
            <w:lang w:val="en-US" w:eastAsia="en-GB"/>
          </w:rPr>
          <w:t>Article 6(</w:t>
        </w:r>
      </w:hyperlink>
      <w:r w:rsidRPr="00332492">
        <w:rPr>
          <w:rFonts w:ascii="Arial" w:hAnsi="Arial"/>
          <w:color w:val="000000" w:themeColor="text1"/>
          <w:sz w:val="24"/>
          <w:lang w:val="en-US" w:eastAsia="en-GB"/>
        </w:rPr>
        <w:t xml:space="preserve">1), including profiling based on those provisions. </w:t>
      </w:r>
      <w:r w:rsidRPr="00332492">
        <w:rPr>
          <w:rFonts w:ascii="Arial" w:hAnsi="Arial"/>
          <w:color w:val="000000" w:themeColor="text1"/>
          <w:sz w:val="24"/>
          <w:vertAlign w:val="superscript"/>
          <w:lang w:val="en-US" w:eastAsia="en-GB"/>
        </w:rPr>
        <w:t>2</w:t>
      </w:r>
      <w:r w:rsidRPr="00332492">
        <w:rPr>
          <w:rFonts w:ascii="Arial" w:hAnsi="Arial"/>
          <w:color w:val="000000" w:themeColor="text1"/>
          <w:sz w:val="24"/>
          <w:lang w:val="en-US" w:eastAsia="en-GB"/>
        </w:rPr>
        <w:t xml:space="preserve">The controller shall no longer process the personal data unless the controller demonstrates compelling legitimate grounds for the processing which override the interests, rights and freedoms of the data subject or for the establishment, exercise or </w:t>
      </w:r>
      <w:r w:rsidR="00E40028" w:rsidRPr="00332492">
        <w:rPr>
          <w:rFonts w:ascii="Arial" w:hAnsi="Arial"/>
          <w:color w:val="000000" w:themeColor="text1"/>
          <w:sz w:val="24"/>
          <w:lang w:val="en-US" w:eastAsia="en-GB"/>
        </w:rPr>
        <w:t>defense</w:t>
      </w:r>
      <w:r w:rsidRPr="00332492">
        <w:rPr>
          <w:rFonts w:ascii="Arial" w:hAnsi="Arial"/>
          <w:color w:val="000000" w:themeColor="text1"/>
          <w:sz w:val="24"/>
          <w:lang w:val="en-US" w:eastAsia="en-GB"/>
        </w:rPr>
        <w:t xml:space="preserve"> of legal claims.</w:t>
      </w:r>
    </w:p>
    <w:p w14:paraId="5DFDFDE6" w14:textId="77777777" w:rsidR="00F46166" w:rsidRPr="00332492" w:rsidRDefault="00F46166" w:rsidP="00B914EE">
      <w:pPr>
        <w:pStyle w:val="ListParagraph"/>
        <w:numPr>
          <w:ilvl w:val="0"/>
          <w:numId w:val="33"/>
        </w:numPr>
        <w:spacing w:before="240" w:after="240"/>
        <w:ind w:left="426" w:hanging="426"/>
        <w:rPr>
          <w:rFonts w:ascii="Arial" w:hAnsi="Arial"/>
          <w:color w:val="000000" w:themeColor="text1"/>
          <w:sz w:val="24"/>
          <w:lang w:val="en-US" w:eastAsia="en-GB"/>
        </w:rPr>
      </w:pPr>
      <w:r w:rsidRPr="00332492">
        <w:rPr>
          <w:rFonts w:ascii="Arial" w:hAnsi="Arial"/>
          <w:color w:val="000000" w:themeColor="text1"/>
          <w:sz w:val="24"/>
          <w:lang w:val="en-US" w:eastAsia="en-GB"/>
        </w:rPr>
        <w:t>Where personal data are processed for direct marketing purposes, the data subject shall have the right to object at any time to processing of personal data concerning him or her for such marketing, which includes profiling to the extent that it is related to such direct marketing.</w:t>
      </w:r>
    </w:p>
    <w:p w14:paraId="7402518B" w14:textId="77777777" w:rsidR="00F46166" w:rsidRPr="00332492" w:rsidRDefault="00F46166" w:rsidP="00B914EE">
      <w:pPr>
        <w:pStyle w:val="ListParagraph"/>
        <w:numPr>
          <w:ilvl w:val="0"/>
          <w:numId w:val="33"/>
        </w:numPr>
        <w:spacing w:before="240" w:after="240"/>
        <w:ind w:left="426" w:hanging="426"/>
        <w:rPr>
          <w:rFonts w:ascii="Arial" w:hAnsi="Arial"/>
          <w:color w:val="000000" w:themeColor="text1"/>
          <w:sz w:val="24"/>
          <w:lang w:val="en-US" w:eastAsia="en-GB"/>
        </w:rPr>
      </w:pPr>
      <w:r w:rsidRPr="00332492">
        <w:rPr>
          <w:rFonts w:ascii="Arial" w:hAnsi="Arial"/>
          <w:color w:val="000000" w:themeColor="text1"/>
          <w:sz w:val="24"/>
          <w:lang w:val="en-US" w:eastAsia="en-GB"/>
        </w:rPr>
        <w:t>Where the data subject objects to processing for direct marketing purposes, the personal data shall no longer be processed for such purposes.</w:t>
      </w:r>
    </w:p>
    <w:p w14:paraId="17FF3E68" w14:textId="77777777" w:rsidR="00F46166" w:rsidRPr="00332492" w:rsidRDefault="00F46166" w:rsidP="00B914EE">
      <w:pPr>
        <w:pStyle w:val="ListParagraph"/>
        <w:numPr>
          <w:ilvl w:val="0"/>
          <w:numId w:val="33"/>
        </w:numPr>
        <w:spacing w:before="240" w:after="240"/>
        <w:ind w:left="426" w:hanging="426"/>
        <w:rPr>
          <w:rFonts w:ascii="Arial" w:hAnsi="Arial"/>
          <w:color w:val="000000" w:themeColor="text1"/>
          <w:sz w:val="24"/>
          <w:lang w:val="en-US" w:eastAsia="en-GB"/>
        </w:rPr>
      </w:pPr>
      <w:r w:rsidRPr="00332492">
        <w:rPr>
          <w:rFonts w:ascii="Arial" w:hAnsi="Arial"/>
          <w:color w:val="000000" w:themeColor="text1"/>
          <w:sz w:val="24"/>
          <w:lang w:val="en-US" w:eastAsia="en-GB"/>
        </w:rPr>
        <w:t>At the latest at the time of the first communication with the data subject, the right referred to in paragraphs 1 and 2 shall be explicitly brought to the attention of the data subject and shall be presented clearly and separately from any other information.</w:t>
      </w:r>
    </w:p>
    <w:p w14:paraId="3609C777" w14:textId="77777777" w:rsidR="00F46166" w:rsidRPr="00332492" w:rsidRDefault="00F46166" w:rsidP="00B914EE">
      <w:pPr>
        <w:pStyle w:val="ListParagraph"/>
        <w:numPr>
          <w:ilvl w:val="0"/>
          <w:numId w:val="33"/>
        </w:numPr>
        <w:spacing w:before="240" w:after="240"/>
        <w:ind w:left="426" w:hanging="426"/>
        <w:rPr>
          <w:rFonts w:ascii="Arial" w:hAnsi="Arial"/>
          <w:color w:val="000000" w:themeColor="text1"/>
          <w:sz w:val="24"/>
          <w:lang w:val="en-US" w:eastAsia="en-GB"/>
        </w:rPr>
      </w:pPr>
      <w:r w:rsidRPr="00332492">
        <w:rPr>
          <w:rFonts w:ascii="Arial" w:hAnsi="Arial"/>
          <w:color w:val="000000" w:themeColor="text1"/>
          <w:sz w:val="24"/>
          <w:lang w:val="en-US" w:eastAsia="en-GB"/>
        </w:rPr>
        <w:t xml:space="preserve">In the context of the use of information society services, and notwithstanding </w:t>
      </w:r>
      <w:hyperlink r:id="rId44" w:tgtFrame="_blank" w:history="1">
        <w:r w:rsidRPr="00332492">
          <w:rPr>
            <w:rFonts w:ascii="Arial" w:hAnsi="Arial"/>
            <w:color w:val="000000" w:themeColor="text1"/>
            <w:sz w:val="24"/>
            <w:lang w:val="en-US" w:eastAsia="en-GB"/>
          </w:rPr>
          <w:t>Directive 2002/58/EC</w:t>
        </w:r>
      </w:hyperlink>
      <w:r w:rsidRPr="00332492">
        <w:rPr>
          <w:rFonts w:ascii="Arial" w:hAnsi="Arial"/>
          <w:color w:val="000000" w:themeColor="text1"/>
          <w:sz w:val="24"/>
          <w:lang w:val="en-US" w:eastAsia="en-GB"/>
        </w:rPr>
        <w:t>, the data subject may exercise his or her right to object by automated means using technical specifications.</w:t>
      </w:r>
    </w:p>
    <w:p w14:paraId="3035F619" w14:textId="77777777" w:rsidR="00F46166" w:rsidRPr="00032CF3" w:rsidRDefault="00F46166" w:rsidP="00B914EE">
      <w:pPr>
        <w:pStyle w:val="ListParagraph"/>
        <w:numPr>
          <w:ilvl w:val="0"/>
          <w:numId w:val="33"/>
        </w:numPr>
        <w:spacing w:before="240" w:after="240"/>
        <w:ind w:left="426" w:hanging="426"/>
        <w:rPr>
          <w:rFonts w:ascii="Arial" w:hAnsi="Arial"/>
          <w:sz w:val="24"/>
          <w:lang w:val="en-US" w:eastAsia="en-GB"/>
        </w:rPr>
      </w:pPr>
      <w:r w:rsidRPr="00332492">
        <w:rPr>
          <w:rFonts w:ascii="Arial" w:hAnsi="Arial"/>
          <w:color w:val="000000" w:themeColor="text1"/>
          <w:sz w:val="24"/>
          <w:lang w:val="en-US" w:eastAsia="en-GB"/>
        </w:rPr>
        <w:t xml:space="preserve">Where personal data are processed for scientific or historical research purposes or statistical purposes pursuant to </w:t>
      </w:r>
      <w:hyperlink r:id="rId45" w:history="1">
        <w:r w:rsidRPr="00332492">
          <w:rPr>
            <w:rFonts w:ascii="Arial" w:hAnsi="Arial"/>
            <w:color w:val="000000" w:themeColor="text1"/>
            <w:sz w:val="24"/>
            <w:lang w:val="en-US" w:eastAsia="en-GB"/>
          </w:rPr>
          <w:t>Article 89(</w:t>
        </w:r>
      </w:hyperlink>
      <w:r w:rsidRPr="00032CF3">
        <w:rPr>
          <w:rFonts w:ascii="Arial" w:hAnsi="Arial"/>
          <w:sz w:val="24"/>
          <w:lang w:val="en-US" w:eastAsia="en-GB"/>
        </w:rPr>
        <w:t>1), the data subject, on grounds relating to his or her particular situation, shall have the right to object to processing of personal data concerning him or her, unless the processing is necessary for the performance of a task carried out for reasons of public interest.</w:t>
      </w:r>
    </w:p>
    <w:p w14:paraId="212EFD11" w14:textId="77777777" w:rsidR="00F46166" w:rsidRPr="00032CF3" w:rsidRDefault="00F46166" w:rsidP="000B5F9D">
      <w:pPr>
        <w:ind w:left="426" w:hanging="426"/>
        <w:rPr>
          <w:rFonts w:eastAsia="Calibri" w:cs="Arial"/>
          <w:b/>
          <w:sz w:val="28"/>
        </w:rPr>
      </w:pPr>
    </w:p>
    <w:p w14:paraId="22AF42CE" w14:textId="77777777" w:rsidR="0080101F" w:rsidRPr="00032CF3" w:rsidRDefault="0080101F" w:rsidP="000B5F9D">
      <w:pPr>
        <w:spacing w:before="0" w:after="160" w:line="259" w:lineRule="auto"/>
        <w:ind w:left="426" w:hanging="426"/>
        <w:rPr>
          <w:rFonts w:cs="Arial"/>
          <w:sz w:val="28"/>
        </w:rPr>
      </w:pPr>
      <w:r w:rsidRPr="00032CF3">
        <w:rPr>
          <w:rFonts w:cs="Arial"/>
          <w:sz w:val="28"/>
        </w:rPr>
        <w:br w:type="page"/>
      </w:r>
    </w:p>
    <w:p w14:paraId="38A29335" w14:textId="77777777" w:rsidR="00E16B46" w:rsidRPr="00032CF3" w:rsidRDefault="0080101F" w:rsidP="0080101F">
      <w:pPr>
        <w:pStyle w:val="Heading2"/>
        <w:rPr>
          <w:rFonts w:cs="Arial"/>
        </w:rPr>
      </w:pPr>
      <w:bookmarkStart w:id="78" w:name="_Toc10223088"/>
      <w:r w:rsidRPr="00032CF3">
        <w:rPr>
          <w:rFonts w:cs="Arial"/>
        </w:rPr>
        <w:lastRenderedPageBreak/>
        <w:t>Appendix J – GDPR Article 26 – Joint Controllers</w:t>
      </w:r>
      <w:bookmarkEnd w:id="78"/>
    </w:p>
    <w:p w14:paraId="4FF61ED6" w14:textId="77777777" w:rsidR="0080101F" w:rsidRPr="00032CF3" w:rsidRDefault="0080101F" w:rsidP="00B914EE">
      <w:pPr>
        <w:pStyle w:val="ListParagraph"/>
        <w:numPr>
          <w:ilvl w:val="0"/>
          <w:numId w:val="34"/>
        </w:numPr>
        <w:spacing w:before="240" w:after="240"/>
        <w:ind w:left="426" w:hanging="426"/>
        <w:rPr>
          <w:rFonts w:ascii="Arial" w:hAnsi="Arial"/>
          <w:sz w:val="24"/>
          <w:szCs w:val="24"/>
          <w:lang w:val="en-US" w:eastAsia="en-GB"/>
        </w:rPr>
      </w:pPr>
      <w:r w:rsidRPr="00032CF3">
        <w:rPr>
          <w:rFonts w:ascii="Arial" w:hAnsi="Arial"/>
          <w:sz w:val="24"/>
          <w:szCs w:val="24"/>
          <w:lang w:val="en-US" w:eastAsia="en-GB"/>
        </w:rPr>
        <w:t xml:space="preserve">Where two or more controllers jointly </w:t>
      </w:r>
      <w:r w:rsidR="00762B59" w:rsidRPr="00032CF3">
        <w:rPr>
          <w:rFonts w:ascii="Arial" w:hAnsi="Arial"/>
          <w:sz w:val="24"/>
          <w:szCs w:val="24"/>
          <w:lang w:val="en-US" w:eastAsia="en-GB"/>
        </w:rPr>
        <w:t>determine the purposes and means of processing,</w:t>
      </w:r>
      <w:r w:rsidRPr="00032CF3">
        <w:rPr>
          <w:rFonts w:ascii="Arial" w:hAnsi="Arial"/>
          <w:sz w:val="24"/>
          <w:szCs w:val="24"/>
          <w:lang w:val="en-US" w:eastAsia="en-GB"/>
        </w:rPr>
        <w:t xml:space="preserve"> they shall be joint controllers. They shall in a transparent manner determine their respective responsibilities for compliance with the obligations under this Regulation, in particular as regards the exercising of the rights </w:t>
      </w:r>
      <w:r w:rsidRPr="00EF4E34">
        <w:rPr>
          <w:rFonts w:ascii="Arial" w:hAnsi="Arial"/>
          <w:color w:val="000000" w:themeColor="text1"/>
          <w:sz w:val="24"/>
          <w:szCs w:val="24"/>
          <w:lang w:val="en-US" w:eastAsia="en-GB"/>
        </w:rPr>
        <w:t xml:space="preserve">of the data subject and their respective duties to provide the information referred to in </w:t>
      </w:r>
      <w:hyperlink r:id="rId46" w:history="1">
        <w:r w:rsidRPr="00EF4E34">
          <w:rPr>
            <w:rFonts w:ascii="Arial" w:hAnsi="Arial"/>
            <w:color w:val="000000" w:themeColor="text1"/>
            <w:sz w:val="24"/>
            <w:szCs w:val="24"/>
            <w:lang w:val="en-US" w:eastAsia="en-GB"/>
          </w:rPr>
          <w:t>Articles 13</w:t>
        </w:r>
      </w:hyperlink>
      <w:r w:rsidRPr="00EF4E34">
        <w:rPr>
          <w:rFonts w:ascii="Arial" w:hAnsi="Arial"/>
          <w:color w:val="000000" w:themeColor="text1"/>
          <w:sz w:val="24"/>
          <w:szCs w:val="24"/>
          <w:lang w:val="en-US" w:eastAsia="en-GB"/>
        </w:rPr>
        <w:t xml:space="preserve"> and </w:t>
      </w:r>
      <w:hyperlink r:id="rId47" w:history="1">
        <w:r w:rsidRPr="00EF4E34">
          <w:rPr>
            <w:rFonts w:ascii="Arial" w:hAnsi="Arial"/>
            <w:color w:val="000000" w:themeColor="text1"/>
            <w:sz w:val="24"/>
            <w:szCs w:val="24"/>
            <w:lang w:val="en-US" w:eastAsia="en-GB"/>
          </w:rPr>
          <w:t>14</w:t>
        </w:r>
      </w:hyperlink>
      <w:r w:rsidRPr="00EF4E34">
        <w:rPr>
          <w:rFonts w:ascii="Arial" w:hAnsi="Arial"/>
          <w:color w:val="000000" w:themeColor="text1"/>
          <w:sz w:val="24"/>
          <w:szCs w:val="24"/>
          <w:lang w:val="en-US" w:eastAsia="en-GB"/>
        </w:rPr>
        <w:t>, by means of an arrangement between them unless, and in so far as, the respective responsibilities of the controllers are determined by Union or Member State law to w</w:t>
      </w:r>
      <w:r w:rsidRPr="00032CF3">
        <w:rPr>
          <w:rFonts w:ascii="Arial" w:hAnsi="Arial"/>
          <w:sz w:val="24"/>
          <w:szCs w:val="24"/>
          <w:lang w:val="en-US" w:eastAsia="en-GB"/>
        </w:rPr>
        <w:t>hich the controllers are subject. The arrangement may designate a contact point for data subjects.</w:t>
      </w:r>
    </w:p>
    <w:p w14:paraId="3009D5A1" w14:textId="77777777" w:rsidR="0080101F" w:rsidRPr="00032CF3" w:rsidRDefault="0080101F" w:rsidP="00B914EE">
      <w:pPr>
        <w:pStyle w:val="ListParagraph"/>
        <w:numPr>
          <w:ilvl w:val="0"/>
          <w:numId w:val="34"/>
        </w:numPr>
        <w:spacing w:before="240" w:after="240"/>
        <w:ind w:left="426" w:hanging="426"/>
        <w:rPr>
          <w:rFonts w:ascii="Arial" w:hAnsi="Arial"/>
          <w:sz w:val="24"/>
          <w:szCs w:val="24"/>
          <w:lang w:val="en-US" w:eastAsia="en-GB"/>
        </w:rPr>
      </w:pPr>
      <w:r w:rsidRPr="00032CF3">
        <w:rPr>
          <w:rFonts w:ascii="Arial" w:hAnsi="Arial"/>
          <w:sz w:val="24"/>
          <w:szCs w:val="24"/>
          <w:lang w:val="en-US" w:eastAsia="en-GB"/>
        </w:rPr>
        <w:t>The arrangement referred to in paragraph 1 shall duly reflect the respective roles and relationships of the joint controllers vis-à-vis the data subjects. The essence of the arrangement shall be made available to the data subject.</w:t>
      </w:r>
    </w:p>
    <w:p w14:paraId="04554BD2" w14:textId="77777777" w:rsidR="0080101F" w:rsidRDefault="0080101F" w:rsidP="00B914EE">
      <w:pPr>
        <w:pStyle w:val="ListParagraph"/>
        <w:numPr>
          <w:ilvl w:val="0"/>
          <w:numId w:val="34"/>
        </w:numPr>
        <w:spacing w:before="240" w:after="240"/>
        <w:ind w:left="426" w:hanging="426"/>
        <w:rPr>
          <w:rFonts w:ascii="Arial" w:hAnsi="Arial"/>
          <w:sz w:val="24"/>
          <w:szCs w:val="24"/>
          <w:lang w:val="en-US" w:eastAsia="en-GB"/>
        </w:rPr>
      </w:pPr>
      <w:r w:rsidRPr="00032CF3">
        <w:rPr>
          <w:rFonts w:ascii="Arial" w:hAnsi="Arial"/>
          <w:sz w:val="24"/>
          <w:szCs w:val="24"/>
          <w:lang w:val="en-US" w:eastAsia="en-GB"/>
        </w:rPr>
        <w:t>Irrespective of the terms of the arrangement referred to in paragraph 1, the data subject may exercise his or her rights under this Regulation in respect of and against each of the controllers.</w:t>
      </w:r>
    </w:p>
    <w:p w14:paraId="574A71F5" w14:textId="77777777" w:rsidR="00322E8E" w:rsidRDefault="00322E8E" w:rsidP="00322E8E">
      <w:pPr>
        <w:rPr>
          <w:rFonts w:cs="Arial"/>
          <w:b/>
          <w:bCs w:val="0"/>
          <w:szCs w:val="24"/>
          <w:u w:val="single"/>
          <w:lang w:val="en-US"/>
        </w:rPr>
      </w:pPr>
    </w:p>
    <w:p w14:paraId="5E02A675" w14:textId="77777777" w:rsidR="00322E8E" w:rsidRPr="009E1045" w:rsidRDefault="00322E8E" w:rsidP="00322E8E">
      <w:pPr>
        <w:rPr>
          <w:rFonts w:cs="Arial"/>
          <w:b/>
          <w:bCs w:val="0"/>
          <w:szCs w:val="24"/>
          <w:u w:val="single"/>
          <w:lang w:val="en-US"/>
        </w:rPr>
      </w:pPr>
      <w:r>
        <w:rPr>
          <w:rFonts w:cs="Arial"/>
          <w:b/>
          <w:bCs w:val="0"/>
          <w:szCs w:val="24"/>
          <w:u w:val="single"/>
          <w:lang w:val="en-US"/>
        </w:rPr>
        <w:t>Joint Data Controllership – ICO thinking</w:t>
      </w:r>
    </w:p>
    <w:p w14:paraId="26B8CA45" w14:textId="77777777" w:rsidR="00322E8E" w:rsidRDefault="00322E8E" w:rsidP="00332492">
      <w:pPr>
        <w:spacing w:before="0" w:after="0" w:line="276" w:lineRule="auto"/>
        <w:jc w:val="both"/>
        <w:rPr>
          <w:rFonts w:cs="Arial"/>
          <w:szCs w:val="24"/>
          <w:lang w:eastAsia="en-GB"/>
        </w:rPr>
      </w:pPr>
      <w:r>
        <w:rPr>
          <w:rFonts w:cs="Arial"/>
          <w:szCs w:val="24"/>
          <w:lang w:val="en-US"/>
        </w:rPr>
        <w:t xml:space="preserve">There is now a clear distinction between controllers working together as joint controllers or alone as individual controllers. </w:t>
      </w:r>
      <w:r>
        <w:rPr>
          <w:rFonts w:cs="Arial"/>
          <w:szCs w:val="24"/>
        </w:rPr>
        <w:t>LHCRs will be joint controllers, as between them they will decide on the purpose and manner for which personal data is collected; it will not be decided by one single organisation within the LHCR; as</w:t>
      </w:r>
      <w:r>
        <w:rPr>
          <w:rFonts w:cs="Arial"/>
          <w:szCs w:val="24"/>
          <w:lang w:val="en-US"/>
        </w:rPr>
        <w:t xml:space="preserve"> a LHCR is not a legal entity, joint controllers will need to enter into binding contracts/processing agreements with data processers as a “group” of data controllers rather than appoint a single lead data controller to act on behalf of the group.</w:t>
      </w:r>
      <w:r>
        <w:rPr>
          <w:rFonts w:cs="Arial"/>
          <w:szCs w:val="24"/>
          <w:lang w:val="en-US" w:eastAsia="en-GB"/>
        </w:rPr>
        <w:t xml:space="preserve"> </w:t>
      </w:r>
    </w:p>
    <w:p w14:paraId="1A3484E5" w14:textId="77777777" w:rsidR="00322E8E" w:rsidRDefault="00322E8E" w:rsidP="00332492">
      <w:pPr>
        <w:spacing w:before="0" w:after="0" w:line="276" w:lineRule="auto"/>
        <w:jc w:val="both"/>
        <w:rPr>
          <w:rFonts w:ascii="Calibri" w:hAnsi="Calibri" w:cs="Calibri"/>
          <w:b/>
          <w:sz w:val="22"/>
          <w:szCs w:val="22"/>
        </w:rPr>
      </w:pPr>
    </w:p>
    <w:p w14:paraId="6BDB1822" w14:textId="77777777" w:rsidR="00322E8E" w:rsidRDefault="00322E8E" w:rsidP="00332492">
      <w:pPr>
        <w:spacing w:before="0" w:after="0" w:line="276" w:lineRule="auto"/>
        <w:jc w:val="both"/>
        <w:rPr>
          <w:rFonts w:cs="Arial"/>
          <w:b/>
          <w:bCs w:val="0"/>
          <w:szCs w:val="24"/>
        </w:rPr>
      </w:pPr>
      <w:r>
        <w:rPr>
          <w:rFonts w:cs="Arial"/>
          <w:b/>
          <w:bCs w:val="0"/>
          <w:szCs w:val="24"/>
        </w:rPr>
        <w:t>The below gives the ICO thinking with regards to Data Controllership for both enhanced sharing and combined record and therefore how Joint Controllership for LHCR’s determined.</w:t>
      </w:r>
    </w:p>
    <w:p w14:paraId="4F39D37A" w14:textId="77777777" w:rsidR="00322E8E" w:rsidRDefault="00322E8E" w:rsidP="00332492">
      <w:pPr>
        <w:spacing w:before="0" w:after="0" w:line="276" w:lineRule="auto"/>
        <w:jc w:val="both"/>
        <w:rPr>
          <w:rFonts w:cs="Arial"/>
          <w:bCs w:val="0"/>
          <w:szCs w:val="24"/>
        </w:rPr>
      </w:pPr>
    </w:p>
    <w:p w14:paraId="7872C45C" w14:textId="77777777" w:rsidR="00322E8E" w:rsidRDefault="00322E8E" w:rsidP="00332492">
      <w:pPr>
        <w:spacing w:before="0" w:after="0" w:line="276" w:lineRule="auto"/>
        <w:jc w:val="both"/>
        <w:rPr>
          <w:rFonts w:cs="Arial"/>
          <w:szCs w:val="24"/>
        </w:rPr>
      </w:pPr>
      <w:r>
        <w:rPr>
          <w:rFonts w:cs="Arial"/>
          <w:b/>
          <w:bCs w:val="0"/>
          <w:szCs w:val="24"/>
        </w:rPr>
        <w:t>‘Enhanced sharing’</w:t>
      </w:r>
      <w:r>
        <w:rPr>
          <w:rFonts w:cs="Arial"/>
          <w:szCs w:val="24"/>
        </w:rPr>
        <w:t xml:space="preserve"> – no external record just method which allows distinct controllers to get record from wherever it held.</w:t>
      </w:r>
    </w:p>
    <w:p w14:paraId="65E403D7" w14:textId="77777777" w:rsidR="00322E8E" w:rsidRDefault="00322E8E" w:rsidP="00332492">
      <w:pPr>
        <w:spacing w:before="0" w:after="0" w:line="276" w:lineRule="auto"/>
        <w:jc w:val="both"/>
        <w:rPr>
          <w:rFonts w:cs="Arial"/>
          <w:szCs w:val="24"/>
        </w:rPr>
      </w:pPr>
    </w:p>
    <w:p w14:paraId="77744A36" w14:textId="77777777" w:rsidR="00322E8E" w:rsidRDefault="00322E8E" w:rsidP="00332492">
      <w:pPr>
        <w:spacing w:before="0" w:after="0" w:line="276" w:lineRule="auto"/>
        <w:jc w:val="both"/>
        <w:rPr>
          <w:rFonts w:cs="Arial"/>
          <w:szCs w:val="24"/>
        </w:rPr>
      </w:pPr>
      <w:r>
        <w:rPr>
          <w:rFonts w:cs="Arial"/>
          <w:b/>
          <w:bCs w:val="0"/>
          <w:szCs w:val="24"/>
        </w:rPr>
        <w:t>‘Combined record’</w:t>
      </w:r>
      <w:r>
        <w:rPr>
          <w:rFonts w:cs="Arial"/>
          <w:szCs w:val="24"/>
        </w:rPr>
        <w:t xml:space="preserve"> – each organisation contributing to a centrally shared record all have access to.</w:t>
      </w:r>
    </w:p>
    <w:p w14:paraId="434FE42A" w14:textId="77777777" w:rsidR="00322E8E" w:rsidRDefault="00322E8E" w:rsidP="00332492">
      <w:pPr>
        <w:spacing w:before="0" w:after="0" w:line="276" w:lineRule="auto"/>
        <w:jc w:val="both"/>
        <w:rPr>
          <w:rFonts w:cs="Arial"/>
          <w:szCs w:val="24"/>
        </w:rPr>
      </w:pPr>
    </w:p>
    <w:p w14:paraId="6AF1047C" w14:textId="77777777" w:rsidR="00322E8E" w:rsidRDefault="00322E8E" w:rsidP="00332492">
      <w:pPr>
        <w:spacing w:before="0" w:after="0" w:line="276" w:lineRule="auto"/>
        <w:jc w:val="both"/>
        <w:rPr>
          <w:rFonts w:cs="Arial"/>
          <w:szCs w:val="24"/>
        </w:rPr>
      </w:pPr>
      <w:r>
        <w:rPr>
          <w:rFonts w:cs="Arial"/>
          <w:szCs w:val="24"/>
        </w:rPr>
        <w:t xml:space="preserve">Whilst being a relatively basic tool the </w:t>
      </w:r>
      <w:hyperlink r:id="rId48" w:history="1">
        <w:r>
          <w:rPr>
            <w:rStyle w:val="Hyperlink"/>
            <w:rFonts w:cs="Arial"/>
            <w:szCs w:val="24"/>
          </w:rPr>
          <w:t>online checklist</w:t>
        </w:r>
      </w:hyperlink>
      <w:r>
        <w:rPr>
          <w:rFonts w:cs="Arial"/>
          <w:szCs w:val="24"/>
        </w:rPr>
        <w:t xml:space="preserve"> does provide some insight into the factors to consider when determining if you’re acting ‘jointly’. It may be useful to illustrate the point that </w:t>
      </w:r>
      <w:r>
        <w:rPr>
          <w:rFonts w:cs="Arial"/>
          <w:b/>
          <w:bCs w:val="0"/>
          <w:szCs w:val="24"/>
        </w:rPr>
        <w:t>a shared purpose is only one factor</w:t>
      </w:r>
      <w:r>
        <w:rPr>
          <w:rFonts w:cs="Arial"/>
          <w:szCs w:val="24"/>
        </w:rPr>
        <w:t>;</w:t>
      </w:r>
    </w:p>
    <w:p w14:paraId="3B45F219" w14:textId="77777777" w:rsidR="00322E8E" w:rsidRDefault="00322E8E" w:rsidP="00332492">
      <w:pPr>
        <w:spacing w:before="0" w:after="0" w:line="276" w:lineRule="auto"/>
        <w:jc w:val="both"/>
        <w:rPr>
          <w:rFonts w:cs="Arial"/>
          <w:szCs w:val="24"/>
        </w:rPr>
      </w:pPr>
    </w:p>
    <w:p w14:paraId="0565760A" w14:textId="77777777" w:rsidR="00322E8E" w:rsidRDefault="00322E8E" w:rsidP="00332492">
      <w:pPr>
        <w:autoSpaceDE w:val="0"/>
        <w:autoSpaceDN w:val="0"/>
        <w:spacing w:before="0" w:after="0" w:line="276" w:lineRule="auto"/>
        <w:ind w:left="567"/>
        <w:jc w:val="both"/>
        <w:rPr>
          <w:rFonts w:cs="Arial"/>
          <w:szCs w:val="24"/>
          <w:lang w:val="en" w:eastAsia="en-GB"/>
        </w:rPr>
      </w:pPr>
      <w:r>
        <w:rPr>
          <w:rFonts w:cs="Arial"/>
          <w:szCs w:val="24"/>
          <w:lang w:val="en" w:eastAsia="en-GB"/>
        </w:rPr>
        <w:t>Are we a joint controller? (The more you tick the more likely you are)</w:t>
      </w:r>
    </w:p>
    <w:p w14:paraId="206DFFA7" w14:textId="77777777" w:rsidR="00322E8E" w:rsidRDefault="00322E8E" w:rsidP="00B914EE">
      <w:pPr>
        <w:numPr>
          <w:ilvl w:val="0"/>
          <w:numId w:val="41"/>
        </w:numPr>
        <w:spacing w:before="0" w:after="0" w:line="276" w:lineRule="auto"/>
        <w:contextualSpacing/>
        <w:jc w:val="both"/>
        <w:rPr>
          <w:rFonts w:cs="Arial"/>
          <w:szCs w:val="24"/>
          <w:lang w:val="en" w:eastAsia="en-GB"/>
        </w:rPr>
      </w:pPr>
      <w:r>
        <w:rPr>
          <w:rFonts w:cs="Arial"/>
          <w:szCs w:val="24"/>
          <w:lang w:val="en" w:eastAsia="en-GB"/>
        </w:rPr>
        <w:t>We have a common objective with others regarding the processing.</w:t>
      </w:r>
    </w:p>
    <w:p w14:paraId="36F56EFA" w14:textId="77777777" w:rsidR="00322E8E" w:rsidRDefault="00322E8E" w:rsidP="00B914EE">
      <w:pPr>
        <w:numPr>
          <w:ilvl w:val="0"/>
          <w:numId w:val="41"/>
        </w:numPr>
        <w:spacing w:before="0" w:after="0" w:line="276" w:lineRule="auto"/>
        <w:contextualSpacing/>
        <w:jc w:val="both"/>
        <w:rPr>
          <w:rFonts w:cs="Arial"/>
          <w:szCs w:val="24"/>
          <w:lang w:val="en" w:eastAsia="en-GB"/>
        </w:rPr>
      </w:pPr>
      <w:r>
        <w:rPr>
          <w:rFonts w:cs="Arial"/>
          <w:szCs w:val="24"/>
          <w:lang w:val="en" w:eastAsia="en-GB"/>
        </w:rPr>
        <w:t>We are processing the personal data for the same purpose as another controller.</w:t>
      </w:r>
    </w:p>
    <w:p w14:paraId="00AF4756" w14:textId="77777777" w:rsidR="00322E8E" w:rsidRDefault="00322E8E" w:rsidP="00B914EE">
      <w:pPr>
        <w:numPr>
          <w:ilvl w:val="0"/>
          <w:numId w:val="41"/>
        </w:numPr>
        <w:spacing w:before="0" w:after="0" w:line="276" w:lineRule="auto"/>
        <w:contextualSpacing/>
        <w:jc w:val="both"/>
        <w:rPr>
          <w:rFonts w:cs="Arial"/>
          <w:szCs w:val="24"/>
          <w:lang w:val="en" w:eastAsia="en-GB"/>
        </w:rPr>
      </w:pPr>
      <w:r>
        <w:rPr>
          <w:rFonts w:cs="Arial"/>
          <w:szCs w:val="24"/>
          <w:lang w:val="en" w:eastAsia="en-GB"/>
        </w:rPr>
        <w:t>We are using the same set of personal data (e.g. one database) for this processing as another controller.</w:t>
      </w:r>
    </w:p>
    <w:p w14:paraId="5F5071E7" w14:textId="77777777" w:rsidR="00322E8E" w:rsidRDefault="00322E8E" w:rsidP="00B914EE">
      <w:pPr>
        <w:numPr>
          <w:ilvl w:val="0"/>
          <w:numId w:val="41"/>
        </w:numPr>
        <w:spacing w:before="0" w:after="0" w:line="276" w:lineRule="auto"/>
        <w:contextualSpacing/>
        <w:jc w:val="both"/>
        <w:rPr>
          <w:rFonts w:cs="Arial"/>
          <w:szCs w:val="24"/>
          <w:lang w:val="en" w:eastAsia="en-GB"/>
        </w:rPr>
      </w:pPr>
      <w:r>
        <w:rPr>
          <w:rFonts w:cs="Arial"/>
          <w:szCs w:val="24"/>
          <w:lang w:val="en" w:eastAsia="en-GB"/>
        </w:rPr>
        <w:t>We have designed this process with another controller.</w:t>
      </w:r>
    </w:p>
    <w:p w14:paraId="2C2E8595" w14:textId="77777777" w:rsidR="00322E8E" w:rsidRDefault="00322E8E" w:rsidP="00B914EE">
      <w:pPr>
        <w:numPr>
          <w:ilvl w:val="0"/>
          <w:numId w:val="41"/>
        </w:numPr>
        <w:spacing w:before="0" w:after="0" w:line="276" w:lineRule="auto"/>
        <w:contextualSpacing/>
        <w:jc w:val="both"/>
        <w:rPr>
          <w:rFonts w:cs="Arial"/>
          <w:szCs w:val="24"/>
          <w:lang w:val="en" w:eastAsia="en-GB"/>
        </w:rPr>
      </w:pPr>
      <w:r>
        <w:rPr>
          <w:rFonts w:cs="Arial"/>
          <w:szCs w:val="24"/>
          <w:lang w:val="en" w:eastAsia="en-GB"/>
        </w:rPr>
        <w:lastRenderedPageBreak/>
        <w:t>We have common information management rules with another controller</w:t>
      </w:r>
    </w:p>
    <w:p w14:paraId="0FC78231" w14:textId="77777777" w:rsidR="00322E8E" w:rsidRDefault="00322E8E" w:rsidP="00332492">
      <w:pPr>
        <w:spacing w:before="0" w:after="0" w:line="276" w:lineRule="auto"/>
        <w:ind w:left="720"/>
        <w:jc w:val="both"/>
        <w:rPr>
          <w:rFonts w:eastAsiaTheme="minorHAnsi" w:cs="Arial"/>
          <w:szCs w:val="24"/>
          <w:lang w:val="en" w:eastAsia="en-GB"/>
        </w:rPr>
      </w:pPr>
    </w:p>
    <w:p w14:paraId="73DA5C34" w14:textId="77777777" w:rsidR="00322E8E" w:rsidRDefault="00322E8E" w:rsidP="00332492">
      <w:pPr>
        <w:spacing w:before="0" w:after="0" w:line="276" w:lineRule="auto"/>
        <w:jc w:val="both"/>
        <w:rPr>
          <w:rFonts w:cs="Arial"/>
          <w:szCs w:val="24"/>
        </w:rPr>
      </w:pPr>
      <w:r>
        <w:rPr>
          <w:rFonts w:cs="Arial"/>
          <w:b/>
          <w:bCs w:val="0"/>
          <w:szCs w:val="24"/>
        </w:rPr>
        <w:t>Enhanced sharing</w:t>
      </w:r>
      <w:r>
        <w:rPr>
          <w:rFonts w:cs="Arial"/>
          <w:szCs w:val="24"/>
        </w:rPr>
        <w:t xml:space="preserve"> – the enhanced sharing type arrangement could be described as a controller to controller arrangement as there is no ‘joint purpose’, however looking at the ICO checklist you could still have;</w:t>
      </w:r>
    </w:p>
    <w:p w14:paraId="1B101EE5" w14:textId="77777777" w:rsidR="00322E8E" w:rsidRDefault="00322E8E" w:rsidP="00B914EE">
      <w:pPr>
        <w:numPr>
          <w:ilvl w:val="0"/>
          <w:numId w:val="42"/>
        </w:numPr>
        <w:spacing w:before="0" w:after="0" w:line="276" w:lineRule="auto"/>
        <w:jc w:val="both"/>
        <w:rPr>
          <w:rFonts w:cs="Arial"/>
          <w:szCs w:val="24"/>
        </w:rPr>
      </w:pPr>
      <w:r>
        <w:rPr>
          <w:rFonts w:cs="Arial"/>
          <w:szCs w:val="24"/>
        </w:rPr>
        <w:t>Common objective – linked up care, correct info and not having to ask patient every time</w:t>
      </w:r>
    </w:p>
    <w:p w14:paraId="547DEF29" w14:textId="77777777" w:rsidR="00322E8E" w:rsidRDefault="00322E8E" w:rsidP="00B914EE">
      <w:pPr>
        <w:numPr>
          <w:ilvl w:val="0"/>
          <w:numId w:val="42"/>
        </w:numPr>
        <w:spacing w:before="0" w:after="0" w:line="276" w:lineRule="auto"/>
        <w:jc w:val="both"/>
        <w:rPr>
          <w:rFonts w:cs="Arial"/>
          <w:szCs w:val="24"/>
        </w:rPr>
      </w:pPr>
      <w:r>
        <w:rPr>
          <w:rFonts w:cs="Arial"/>
          <w:szCs w:val="24"/>
        </w:rPr>
        <w:t>Same set of personal data</w:t>
      </w:r>
    </w:p>
    <w:p w14:paraId="7E4CEC08" w14:textId="77777777" w:rsidR="00322E8E" w:rsidRDefault="00322E8E" w:rsidP="00B914EE">
      <w:pPr>
        <w:numPr>
          <w:ilvl w:val="0"/>
          <w:numId w:val="42"/>
        </w:numPr>
        <w:spacing w:before="0" w:after="0" w:line="276" w:lineRule="auto"/>
        <w:jc w:val="both"/>
        <w:rPr>
          <w:rFonts w:cs="Arial"/>
          <w:szCs w:val="24"/>
        </w:rPr>
      </w:pPr>
      <w:r>
        <w:rPr>
          <w:rFonts w:cs="Arial"/>
          <w:szCs w:val="24"/>
        </w:rPr>
        <w:t>Designed this process with another controller – all LHCRs work together to establish system</w:t>
      </w:r>
    </w:p>
    <w:p w14:paraId="6807DD93" w14:textId="77777777" w:rsidR="00322E8E" w:rsidRDefault="00322E8E" w:rsidP="00B914EE">
      <w:pPr>
        <w:numPr>
          <w:ilvl w:val="0"/>
          <w:numId w:val="42"/>
        </w:numPr>
        <w:spacing w:before="0" w:after="0" w:line="276" w:lineRule="auto"/>
        <w:jc w:val="both"/>
        <w:rPr>
          <w:rFonts w:cs="Arial"/>
          <w:szCs w:val="24"/>
        </w:rPr>
      </w:pPr>
      <w:r>
        <w:rPr>
          <w:rFonts w:cs="Arial"/>
          <w:szCs w:val="24"/>
        </w:rPr>
        <w:t>Although might use different policies organisations still form part of a wider framework as most organisations will want to assure the compliance of others within the LHCRE (DSP toolkit, DP laws, LHCR framework agreement, common training requirements?)</w:t>
      </w:r>
    </w:p>
    <w:p w14:paraId="10CC352F" w14:textId="77777777" w:rsidR="00322E8E" w:rsidRDefault="00322E8E" w:rsidP="00332492">
      <w:pPr>
        <w:spacing w:before="0" w:after="0" w:line="276" w:lineRule="auto"/>
        <w:jc w:val="both"/>
        <w:rPr>
          <w:rFonts w:eastAsiaTheme="minorHAnsi" w:cs="Arial"/>
          <w:szCs w:val="24"/>
        </w:rPr>
      </w:pPr>
    </w:p>
    <w:p w14:paraId="05210B51" w14:textId="77777777" w:rsidR="00322E8E" w:rsidRDefault="00322E8E" w:rsidP="00332492">
      <w:pPr>
        <w:spacing w:before="0" w:after="0" w:line="276" w:lineRule="auto"/>
        <w:jc w:val="both"/>
        <w:rPr>
          <w:rFonts w:cs="Arial"/>
          <w:szCs w:val="24"/>
        </w:rPr>
      </w:pPr>
      <w:r>
        <w:rPr>
          <w:rFonts w:cs="Arial"/>
          <w:b/>
          <w:bCs w:val="0"/>
          <w:szCs w:val="24"/>
        </w:rPr>
        <w:t xml:space="preserve">Combined model </w:t>
      </w:r>
      <w:r>
        <w:rPr>
          <w:rFonts w:cs="Arial"/>
          <w:szCs w:val="24"/>
        </w:rPr>
        <w:t>– this isn’t controller-to-controller as a joint record is created that requires ownership but similar factors established;</w:t>
      </w:r>
    </w:p>
    <w:p w14:paraId="5FBBE197" w14:textId="77777777" w:rsidR="00322E8E" w:rsidRDefault="00322E8E" w:rsidP="00332492">
      <w:pPr>
        <w:spacing w:before="0" w:after="0" w:line="276" w:lineRule="auto"/>
        <w:jc w:val="both"/>
        <w:rPr>
          <w:rFonts w:cs="Arial"/>
          <w:szCs w:val="24"/>
        </w:rPr>
      </w:pPr>
    </w:p>
    <w:p w14:paraId="45CA3C6A" w14:textId="77777777" w:rsidR="00322E8E" w:rsidRDefault="00322E8E" w:rsidP="00B914EE">
      <w:pPr>
        <w:numPr>
          <w:ilvl w:val="0"/>
          <w:numId w:val="43"/>
        </w:numPr>
        <w:spacing w:before="0" w:after="0" w:line="276" w:lineRule="auto"/>
        <w:jc w:val="both"/>
        <w:rPr>
          <w:rFonts w:cs="Arial"/>
          <w:szCs w:val="24"/>
        </w:rPr>
      </w:pPr>
      <w:r>
        <w:rPr>
          <w:rFonts w:cs="Arial"/>
          <w:szCs w:val="24"/>
        </w:rPr>
        <w:t>Common objective – linked up care records, correct info and not having to ask patient every time</w:t>
      </w:r>
    </w:p>
    <w:p w14:paraId="7A7C912F" w14:textId="77777777" w:rsidR="00322E8E" w:rsidRDefault="00322E8E" w:rsidP="00B914EE">
      <w:pPr>
        <w:numPr>
          <w:ilvl w:val="0"/>
          <w:numId w:val="43"/>
        </w:numPr>
        <w:spacing w:before="0" w:after="0" w:line="276" w:lineRule="auto"/>
        <w:jc w:val="both"/>
        <w:rPr>
          <w:rFonts w:cs="Arial"/>
          <w:szCs w:val="24"/>
        </w:rPr>
      </w:pPr>
      <w:r>
        <w:rPr>
          <w:rFonts w:cs="Arial"/>
          <w:szCs w:val="24"/>
        </w:rPr>
        <w:t>Purpose – in creating the record they’re establishing a purpose for the creation of joint record.</w:t>
      </w:r>
    </w:p>
    <w:p w14:paraId="17DAC0BF" w14:textId="77777777" w:rsidR="00322E8E" w:rsidRDefault="00322E8E" w:rsidP="00B914EE">
      <w:pPr>
        <w:numPr>
          <w:ilvl w:val="0"/>
          <w:numId w:val="43"/>
        </w:numPr>
        <w:spacing w:before="0" w:after="0" w:line="276" w:lineRule="auto"/>
        <w:jc w:val="both"/>
        <w:rPr>
          <w:rFonts w:cs="Arial"/>
          <w:szCs w:val="24"/>
        </w:rPr>
      </w:pPr>
      <w:r>
        <w:rPr>
          <w:rFonts w:cs="Arial"/>
          <w:szCs w:val="24"/>
        </w:rPr>
        <w:t>Same set of personal data</w:t>
      </w:r>
    </w:p>
    <w:p w14:paraId="3E211EDA" w14:textId="77777777" w:rsidR="00322E8E" w:rsidRDefault="00322E8E" w:rsidP="00B914EE">
      <w:pPr>
        <w:numPr>
          <w:ilvl w:val="0"/>
          <w:numId w:val="43"/>
        </w:numPr>
        <w:spacing w:before="0" w:after="0" w:line="276" w:lineRule="auto"/>
        <w:jc w:val="both"/>
        <w:rPr>
          <w:rFonts w:cs="Arial"/>
          <w:szCs w:val="24"/>
        </w:rPr>
      </w:pPr>
      <w:r>
        <w:rPr>
          <w:rFonts w:cs="Arial"/>
          <w:szCs w:val="24"/>
        </w:rPr>
        <w:t>Designed this process with another controller – all’s LHCRs work together to establish system?</w:t>
      </w:r>
    </w:p>
    <w:p w14:paraId="17A96545" w14:textId="77777777" w:rsidR="00322E8E" w:rsidRPr="009E1045" w:rsidRDefault="00322E8E" w:rsidP="00B914EE">
      <w:pPr>
        <w:numPr>
          <w:ilvl w:val="0"/>
          <w:numId w:val="43"/>
        </w:numPr>
        <w:spacing w:before="0" w:after="0" w:line="276" w:lineRule="auto"/>
        <w:jc w:val="both"/>
        <w:rPr>
          <w:rFonts w:cs="Arial"/>
          <w:szCs w:val="24"/>
        </w:rPr>
      </w:pPr>
      <w:r>
        <w:rPr>
          <w:rFonts w:cs="Arial"/>
          <w:szCs w:val="24"/>
        </w:rPr>
        <w:t>Although might use different organisations policies still within a wider framework as most organisations will want to assure the compliance of others in LHCRE (DSP toolkit, DP laws, LHCR framework ) (*</w:t>
      </w:r>
      <w:r>
        <w:rPr>
          <w:rFonts w:cs="Arial"/>
          <w:b/>
          <w:bCs w:val="0"/>
          <w:szCs w:val="24"/>
        </w:rPr>
        <w:t>This is a broad interpretation on this point</w:t>
      </w:r>
      <w:r>
        <w:rPr>
          <w:rFonts w:cs="Arial"/>
          <w:szCs w:val="24"/>
        </w:rPr>
        <w:t>)</w:t>
      </w:r>
    </w:p>
    <w:p w14:paraId="589EB3E6" w14:textId="77777777" w:rsidR="003A152C" w:rsidRPr="00032CF3" w:rsidRDefault="003A152C" w:rsidP="009D39DC">
      <w:pPr>
        <w:rPr>
          <w:rFonts w:cs="Arial"/>
          <w:bCs w:val="0"/>
          <w:color w:val="000000"/>
          <w:sz w:val="22"/>
          <w:szCs w:val="22"/>
          <w:lang w:val="en" w:eastAsia="en-GB"/>
        </w:rPr>
      </w:pPr>
      <w:r w:rsidRPr="00032CF3">
        <w:rPr>
          <w:rFonts w:cs="Arial"/>
        </w:rPr>
        <w:br w:type="page"/>
      </w:r>
    </w:p>
    <w:p w14:paraId="5B68625C" w14:textId="77777777" w:rsidR="003A152C" w:rsidRPr="00032CF3" w:rsidRDefault="00E83EC5" w:rsidP="00E83EC5">
      <w:pPr>
        <w:pStyle w:val="Heading2"/>
        <w:rPr>
          <w:rFonts w:cs="Arial"/>
        </w:rPr>
      </w:pPr>
      <w:bookmarkStart w:id="79" w:name="_Toc10223089"/>
      <w:r w:rsidRPr="00032CF3">
        <w:rPr>
          <w:rFonts w:cs="Arial"/>
        </w:rPr>
        <w:lastRenderedPageBreak/>
        <w:t xml:space="preserve">Appendix </w:t>
      </w:r>
      <w:r w:rsidR="009D39DC" w:rsidRPr="00032CF3">
        <w:rPr>
          <w:rFonts w:cs="Arial"/>
        </w:rPr>
        <w:t>K</w:t>
      </w:r>
      <w:r w:rsidRPr="00032CF3">
        <w:rPr>
          <w:rFonts w:cs="Arial"/>
        </w:rPr>
        <w:t xml:space="preserve"> – Security Requirements</w:t>
      </w:r>
      <w:bookmarkEnd w:id="79"/>
    </w:p>
    <w:p w14:paraId="4E923B2A" w14:textId="77777777" w:rsidR="00E83EC5" w:rsidRPr="00032CF3" w:rsidRDefault="00E83EC5" w:rsidP="00E83EC5">
      <w:pPr>
        <w:spacing w:before="0" w:after="0" w:line="276" w:lineRule="auto"/>
        <w:jc w:val="both"/>
        <w:rPr>
          <w:rFonts w:cs="Arial"/>
          <w:b/>
          <w:color w:val="1F497D"/>
          <w:szCs w:val="24"/>
        </w:rPr>
      </w:pPr>
      <w:r w:rsidRPr="00032CF3">
        <w:rPr>
          <w:rFonts w:cs="Arial"/>
          <w:b/>
          <w:szCs w:val="24"/>
        </w:rPr>
        <w:t>2017/18 Data Security and Protection Requirements</w:t>
      </w:r>
      <w:r w:rsidRPr="00032CF3">
        <w:rPr>
          <w:rFonts w:cs="Arial"/>
          <w:b/>
          <w:color w:val="1F497D"/>
          <w:szCs w:val="24"/>
        </w:rPr>
        <w:t xml:space="preserve"> </w:t>
      </w:r>
    </w:p>
    <w:p w14:paraId="5AF488A2" w14:textId="77777777" w:rsidR="00E83EC5" w:rsidRPr="00032CF3" w:rsidRDefault="00EF15FC" w:rsidP="00E83EC5">
      <w:pPr>
        <w:spacing w:before="0" w:after="0" w:line="276" w:lineRule="auto"/>
        <w:jc w:val="both"/>
        <w:rPr>
          <w:rFonts w:cs="Arial"/>
          <w:bCs w:val="0"/>
          <w:szCs w:val="24"/>
        </w:rPr>
      </w:pPr>
      <w:hyperlink r:id="rId49" w:history="1">
        <w:r w:rsidR="00E83EC5" w:rsidRPr="00032CF3">
          <w:rPr>
            <w:rStyle w:val="Hyperlink"/>
            <w:rFonts w:cs="Arial"/>
            <w:szCs w:val="24"/>
          </w:rPr>
          <w:t>https://assets.publishing.service.gov.uk/government/uploads/system/uploads/attachment_data/file/675420/17-18_statement_of_requirements_Branded_template_final_22_11_18-1.pdf</w:t>
        </w:r>
      </w:hyperlink>
    </w:p>
    <w:p w14:paraId="722A888A" w14:textId="77777777" w:rsidR="00E83EC5" w:rsidRPr="00032CF3" w:rsidRDefault="00E83EC5" w:rsidP="00E83EC5">
      <w:pPr>
        <w:spacing w:before="0" w:after="0" w:line="276" w:lineRule="auto"/>
        <w:jc w:val="both"/>
        <w:rPr>
          <w:rFonts w:cs="Arial"/>
          <w:szCs w:val="24"/>
        </w:rPr>
      </w:pPr>
      <w:r w:rsidRPr="00032CF3">
        <w:rPr>
          <w:rFonts w:cs="Arial"/>
          <w:szCs w:val="24"/>
        </w:rPr>
        <w:t>Covers NHS organisations, General Practice, Local Government and Social Care Providers</w:t>
      </w:r>
    </w:p>
    <w:p w14:paraId="64C5003B" w14:textId="77777777" w:rsidR="00E83EC5" w:rsidRPr="00032CF3" w:rsidRDefault="00E83EC5" w:rsidP="00E83EC5">
      <w:pPr>
        <w:spacing w:before="0" w:after="0" w:line="276" w:lineRule="auto"/>
        <w:jc w:val="both"/>
        <w:rPr>
          <w:rFonts w:cs="Arial"/>
          <w:szCs w:val="24"/>
        </w:rPr>
      </w:pPr>
    </w:p>
    <w:p w14:paraId="74A6B910" w14:textId="77777777" w:rsidR="00E83EC5" w:rsidRPr="00032CF3" w:rsidRDefault="00E83EC5" w:rsidP="00E83EC5">
      <w:pPr>
        <w:spacing w:before="0" w:after="0" w:line="276" w:lineRule="auto"/>
        <w:jc w:val="both"/>
        <w:rPr>
          <w:rFonts w:cs="Arial"/>
          <w:b/>
          <w:szCs w:val="24"/>
        </w:rPr>
      </w:pPr>
      <w:r w:rsidRPr="00032CF3">
        <w:rPr>
          <w:rFonts w:cs="Arial"/>
          <w:b/>
          <w:szCs w:val="24"/>
        </w:rPr>
        <w:t>GP IT Operating Model Addendum 2018/19</w:t>
      </w:r>
    </w:p>
    <w:p w14:paraId="3B168EA7" w14:textId="77777777" w:rsidR="00E83EC5" w:rsidRPr="00032CF3" w:rsidRDefault="00EF15FC" w:rsidP="00E83EC5">
      <w:pPr>
        <w:spacing w:before="0" w:after="0" w:line="276" w:lineRule="auto"/>
        <w:jc w:val="both"/>
        <w:rPr>
          <w:rFonts w:cs="Arial"/>
          <w:bCs w:val="0"/>
          <w:szCs w:val="24"/>
        </w:rPr>
      </w:pPr>
      <w:hyperlink r:id="rId50" w:history="1">
        <w:r w:rsidR="00E83EC5" w:rsidRPr="00032CF3">
          <w:rPr>
            <w:rStyle w:val="Hyperlink"/>
            <w:rFonts w:cs="Arial"/>
            <w:szCs w:val="24"/>
          </w:rPr>
          <w:t>https://www.england.nhs.uk/publication/2018-19-addendum-to-the-gp-it-operating-model-securing-excellence-in-gp-it-services-2016-18-revisions/</w:t>
        </w:r>
      </w:hyperlink>
    </w:p>
    <w:p w14:paraId="6B6B6F9C" w14:textId="77777777" w:rsidR="00E83EC5" w:rsidRPr="00032CF3" w:rsidRDefault="00E83EC5" w:rsidP="00E83EC5">
      <w:pPr>
        <w:spacing w:before="0" w:after="0" w:line="276" w:lineRule="auto"/>
        <w:jc w:val="both"/>
        <w:rPr>
          <w:rFonts w:cs="Arial"/>
          <w:szCs w:val="24"/>
        </w:rPr>
      </w:pPr>
    </w:p>
    <w:p w14:paraId="13A5B6CD" w14:textId="77777777" w:rsidR="00E83EC5" w:rsidRPr="00032CF3" w:rsidRDefault="00E83EC5" w:rsidP="00E83EC5">
      <w:pPr>
        <w:spacing w:before="0" w:after="0" w:line="276" w:lineRule="auto"/>
        <w:jc w:val="both"/>
        <w:rPr>
          <w:rFonts w:cs="Arial"/>
          <w:szCs w:val="24"/>
        </w:rPr>
      </w:pPr>
      <w:r w:rsidRPr="00032CF3">
        <w:rPr>
          <w:rFonts w:cs="Arial"/>
          <w:szCs w:val="24"/>
        </w:rPr>
        <w:t>The addendum, references various other documents, including:</w:t>
      </w:r>
    </w:p>
    <w:p w14:paraId="57628527" w14:textId="77777777" w:rsidR="00E83EC5" w:rsidRPr="00032CF3" w:rsidRDefault="00E83EC5" w:rsidP="00E83EC5">
      <w:pPr>
        <w:spacing w:before="0" w:after="0" w:line="276" w:lineRule="auto"/>
        <w:jc w:val="both"/>
        <w:rPr>
          <w:rFonts w:cs="Arial"/>
          <w:szCs w:val="24"/>
        </w:rPr>
      </w:pPr>
    </w:p>
    <w:p w14:paraId="799B0939" w14:textId="77777777" w:rsidR="00E83EC5" w:rsidRPr="00032CF3" w:rsidRDefault="00E83EC5" w:rsidP="00962AE5">
      <w:pPr>
        <w:numPr>
          <w:ilvl w:val="0"/>
          <w:numId w:val="26"/>
        </w:numPr>
        <w:spacing w:before="0" w:after="0" w:line="276" w:lineRule="auto"/>
        <w:rPr>
          <w:rFonts w:cs="Arial"/>
          <w:szCs w:val="24"/>
        </w:rPr>
      </w:pPr>
      <w:r w:rsidRPr="00032CF3">
        <w:rPr>
          <w:rFonts w:cs="Arial"/>
          <w:szCs w:val="24"/>
        </w:rPr>
        <w:t xml:space="preserve">Your Data: Better Security, Better Choice, Better Care: </w:t>
      </w:r>
      <w:hyperlink r:id="rId51" w:history="1">
        <w:r w:rsidRPr="00032CF3">
          <w:rPr>
            <w:rStyle w:val="Hyperlink"/>
            <w:rFonts w:cs="Arial"/>
            <w:szCs w:val="24"/>
          </w:rPr>
          <w:t>https://www.gov.uk/government/uploads/system/uploads/attachment_data/file/627493/Your_data_better_security_better_choice_better_care_government_response.pdf</w:t>
        </w:r>
      </w:hyperlink>
    </w:p>
    <w:p w14:paraId="4BBDCAAA" w14:textId="77777777" w:rsidR="00E83EC5" w:rsidRPr="00032CF3" w:rsidRDefault="00E83EC5" w:rsidP="00E83EC5">
      <w:pPr>
        <w:spacing w:before="0" w:after="0" w:line="276" w:lineRule="auto"/>
        <w:jc w:val="both"/>
        <w:rPr>
          <w:rFonts w:eastAsiaTheme="minorHAnsi" w:cs="Arial"/>
          <w:szCs w:val="24"/>
        </w:rPr>
      </w:pPr>
    </w:p>
    <w:p w14:paraId="4B14B872" w14:textId="77777777" w:rsidR="00E83EC5" w:rsidRPr="00032CF3" w:rsidRDefault="00E83EC5" w:rsidP="00962AE5">
      <w:pPr>
        <w:numPr>
          <w:ilvl w:val="0"/>
          <w:numId w:val="26"/>
        </w:numPr>
        <w:spacing w:before="0" w:after="0" w:line="276" w:lineRule="auto"/>
        <w:jc w:val="both"/>
        <w:rPr>
          <w:rFonts w:cs="Arial"/>
          <w:szCs w:val="24"/>
        </w:rPr>
      </w:pPr>
      <w:r w:rsidRPr="00032CF3">
        <w:rPr>
          <w:rFonts w:cs="Arial"/>
          <w:szCs w:val="24"/>
        </w:rPr>
        <w:t>2017/18 Data Security and Protection Requirements: (link as above)</w:t>
      </w:r>
    </w:p>
    <w:p w14:paraId="74F4BB56" w14:textId="77777777" w:rsidR="00E83EC5" w:rsidRPr="00032CF3" w:rsidRDefault="00E83EC5" w:rsidP="00E83EC5">
      <w:pPr>
        <w:spacing w:before="0" w:after="0" w:line="276" w:lineRule="auto"/>
        <w:jc w:val="both"/>
        <w:rPr>
          <w:rFonts w:eastAsiaTheme="minorHAnsi" w:cs="Arial"/>
          <w:szCs w:val="24"/>
        </w:rPr>
      </w:pPr>
    </w:p>
    <w:p w14:paraId="6BC3CED8" w14:textId="77777777" w:rsidR="00E83EC5" w:rsidRPr="00032CF3" w:rsidRDefault="00E83EC5" w:rsidP="00962AE5">
      <w:pPr>
        <w:numPr>
          <w:ilvl w:val="0"/>
          <w:numId w:val="26"/>
        </w:numPr>
        <w:spacing w:before="0" w:after="0" w:line="276" w:lineRule="auto"/>
        <w:jc w:val="both"/>
        <w:rPr>
          <w:rFonts w:cs="Arial"/>
          <w:szCs w:val="24"/>
        </w:rPr>
      </w:pPr>
      <w:r w:rsidRPr="00032CF3">
        <w:rPr>
          <w:rFonts w:cs="Arial"/>
          <w:szCs w:val="24"/>
        </w:rPr>
        <w:t xml:space="preserve">2017/18 General Medical Services Digital Guidance issued jointly by NHS England and the General Practitioners Committee (GPC): </w:t>
      </w:r>
      <w:hyperlink r:id="rId52" w:history="1">
        <w:r w:rsidRPr="00032CF3">
          <w:rPr>
            <w:rStyle w:val="Hyperlink"/>
            <w:rFonts w:cs="Arial"/>
            <w:szCs w:val="24"/>
          </w:rPr>
          <w:t>https://www.england.nhs.uk/wp-content/uploads/2017/04/17-18-gms-digital-guidance.pdf</w:t>
        </w:r>
      </w:hyperlink>
    </w:p>
    <w:p w14:paraId="51E3375E" w14:textId="77777777" w:rsidR="00E83EC5" w:rsidRPr="00032CF3" w:rsidRDefault="00E83EC5" w:rsidP="00E83EC5">
      <w:pPr>
        <w:spacing w:before="0" w:after="0" w:line="276" w:lineRule="auto"/>
        <w:jc w:val="both"/>
        <w:rPr>
          <w:rFonts w:eastAsiaTheme="minorHAnsi" w:cs="Arial"/>
          <w:szCs w:val="24"/>
        </w:rPr>
      </w:pPr>
    </w:p>
    <w:p w14:paraId="14CFF794" w14:textId="77777777" w:rsidR="00E83EC5" w:rsidRPr="00032CF3" w:rsidRDefault="00E83EC5" w:rsidP="00E83EC5">
      <w:pPr>
        <w:spacing w:before="0" w:after="0" w:line="276" w:lineRule="auto"/>
        <w:jc w:val="both"/>
        <w:rPr>
          <w:rFonts w:cs="Arial"/>
          <w:szCs w:val="24"/>
        </w:rPr>
      </w:pPr>
      <w:r w:rsidRPr="00032CF3">
        <w:rPr>
          <w:rFonts w:cs="Arial"/>
          <w:szCs w:val="24"/>
        </w:rPr>
        <w:t xml:space="preserve">In addition NHS Providers (and a number of independent providers) are classed as Operators of Essential Services and will be subject to the Network and Information Systems (NIS) Regulations </w:t>
      </w:r>
      <w:hyperlink r:id="rId53" w:history="1">
        <w:r w:rsidRPr="00032CF3">
          <w:rPr>
            <w:rStyle w:val="Hyperlink"/>
            <w:rFonts w:cs="Arial"/>
            <w:szCs w:val="24"/>
          </w:rPr>
          <w:t>https://www.gov.uk/government/uploads/system/uploads/attachment_data/file/706613/network-and-information-systems-regulations-2018-health-sector-guide.pdf</w:t>
        </w:r>
      </w:hyperlink>
    </w:p>
    <w:p w14:paraId="0959A7DC" w14:textId="77777777" w:rsidR="00E83EC5" w:rsidRPr="00032CF3" w:rsidRDefault="00E83EC5" w:rsidP="00E83EC5">
      <w:pPr>
        <w:spacing w:before="0" w:after="0" w:line="276" w:lineRule="auto"/>
        <w:jc w:val="both"/>
        <w:rPr>
          <w:rFonts w:cs="Arial"/>
          <w:szCs w:val="24"/>
        </w:rPr>
      </w:pPr>
    </w:p>
    <w:p w14:paraId="4F895426" w14:textId="77777777" w:rsidR="00E83EC5" w:rsidRPr="00032CF3" w:rsidRDefault="00E83EC5" w:rsidP="00E83EC5">
      <w:pPr>
        <w:spacing w:before="0" w:after="0" w:line="276" w:lineRule="auto"/>
        <w:jc w:val="both"/>
        <w:rPr>
          <w:rFonts w:cs="Arial"/>
          <w:szCs w:val="24"/>
        </w:rPr>
      </w:pPr>
      <w:r w:rsidRPr="00032CF3">
        <w:rPr>
          <w:rFonts w:cs="Arial"/>
          <w:szCs w:val="24"/>
        </w:rPr>
        <w:t xml:space="preserve">Regarding tools, templates and assurances, there is an expectation that health and care organisations will be addressing relevant recommendations in the CIO Review </w:t>
      </w:r>
      <w:hyperlink r:id="rId54" w:history="1">
        <w:r w:rsidRPr="00032CF3">
          <w:rPr>
            <w:rStyle w:val="Hyperlink"/>
            <w:rFonts w:cs="Arial"/>
            <w:szCs w:val="24"/>
          </w:rPr>
          <w:t>https://www.england.nhs.uk/wp-content/uploads/2018/02/lessons-learned-review-wannacry-ransomware-cyber-attack-cio-review.pdf</w:t>
        </w:r>
      </w:hyperlink>
      <w:r w:rsidRPr="00032CF3">
        <w:rPr>
          <w:rFonts w:cs="Arial"/>
          <w:szCs w:val="24"/>
        </w:rPr>
        <w:t xml:space="preserve"> Certification to standards such as Cyber Essentials Plus (for organisations that partner to form the LHCR) is recommended. Reporting of compliance and any breaches will be via the Data Security Protection Toolkit (which replaced the IG Toolkit f</w:t>
      </w:r>
      <w:r w:rsidR="00BB2B67" w:rsidRPr="00032CF3">
        <w:rPr>
          <w:rFonts w:cs="Arial"/>
          <w:szCs w:val="24"/>
        </w:rPr>
        <w:t>ro</w:t>
      </w:r>
      <w:r w:rsidRPr="00032CF3">
        <w:rPr>
          <w:rFonts w:cs="Arial"/>
          <w:szCs w:val="24"/>
        </w:rPr>
        <w:t>m 1</w:t>
      </w:r>
      <w:r w:rsidRPr="00032CF3">
        <w:rPr>
          <w:rFonts w:cs="Arial"/>
          <w:szCs w:val="24"/>
          <w:vertAlign w:val="superscript"/>
        </w:rPr>
        <w:t>st</w:t>
      </w:r>
      <w:r w:rsidRPr="00032CF3">
        <w:rPr>
          <w:rFonts w:cs="Arial"/>
          <w:szCs w:val="24"/>
        </w:rPr>
        <w:t xml:space="preserve"> April 2018).</w:t>
      </w:r>
    </w:p>
    <w:p w14:paraId="626E1C9B" w14:textId="77777777" w:rsidR="00E83EC5" w:rsidRPr="00032CF3" w:rsidRDefault="00E83EC5" w:rsidP="00E83EC5">
      <w:pPr>
        <w:spacing w:line="276" w:lineRule="auto"/>
        <w:jc w:val="both"/>
        <w:rPr>
          <w:rFonts w:cs="Arial"/>
          <w:szCs w:val="24"/>
        </w:rPr>
      </w:pPr>
      <w:r w:rsidRPr="00032CF3">
        <w:rPr>
          <w:rFonts w:cs="Arial"/>
          <w:szCs w:val="24"/>
        </w:rPr>
        <w:t>It should be noted that local authorities are not mandated to certify to standards such as Cyber Essentials</w:t>
      </w:r>
      <w:r w:rsidR="008873AF" w:rsidRPr="00032CF3">
        <w:rPr>
          <w:rFonts w:cs="Arial"/>
          <w:szCs w:val="24"/>
        </w:rPr>
        <w:t xml:space="preserve"> and</w:t>
      </w:r>
      <w:r w:rsidRPr="00032CF3">
        <w:rPr>
          <w:rFonts w:cs="Arial"/>
          <w:szCs w:val="24"/>
        </w:rPr>
        <w:t>, Cyber Essentials Plus</w:t>
      </w:r>
      <w:r w:rsidR="00BB2B67" w:rsidRPr="00032CF3">
        <w:rPr>
          <w:rFonts w:cs="Arial"/>
          <w:szCs w:val="24"/>
        </w:rPr>
        <w:t>. H</w:t>
      </w:r>
      <w:r w:rsidRPr="00032CF3">
        <w:rPr>
          <w:rFonts w:cs="Arial"/>
          <w:szCs w:val="24"/>
        </w:rPr>
        <w:t xml:space="preserve">owever, they will need to meet the requirements of the </w:t>
      </w:r>
      <w:r w:rsidR="008873AF" w:rsidRPr="00032CF3">
        <w:rPr>
          <w:rFonts w:cs="Arial"/>
          <w:szCs w:val="24"/>
        </w:rPr>
        <w:t>D</w:t>
      </w:r>
      <w:r w:rsidRPr="00032CF3">
        <w:rPr>
          <w:rFonts w:cs="Arial"/>
          <w:szCs w:val="24"/>
        </w:rPr>
        <w:t xml:space="preserve">ata </w:t>
      </w:r>
      <w:r w:rsidR="008873AF" w:rsidRPr="00032CF3">
        <w:rPr>
          <w:rFonts w:cs="Arial"/>
          <w:szCs w:val="24"/>
        </w:rPr>
        <w:t>S</w:t>
      </w:r>
      <w:r w:rsidRPr="00032CF3">
        <w:rPr>
          <w:rFonts w:cs="Arial"/>
          <w:szCs w:val="24"/>
        </w:rPr>
        <w:t xml:space="preserve">ecurity and </w:t>
      </w:r>
      <w:r w:rsidR="008873AF" w:rsidRPr="00032CF3">
        <w:rPr>
          <w:rFonts w:cs="Arial"/>
          <w:szCs w:val="24"/>
        </w:rPr>
        <w:t>P</w:t>
      </w:r>
      <w:r w:rsidRPr="00032CF3">
        <w:rPr>
          <w:rFonts w:cs="Arial"/>
          <w:szCs w:val="24"/>
        </w:rPr>
        <w:t xml:space="preserve">rotection toolkit as part of the process to get a NHS connection, to be able to access NHS </w:t>
      </w:r>
      <w:r w:rsidR="008873AF" w:rsidRPr="00032CF3">
        <w:rPr>
          <w:rFonts w:cs="Arial"/>
          <w:szCs w:val="24"/>
        </w:rPr>
        <w:t>s</w:t>
      </w:r>
      <w:r w:rsidRPr="00032CF3">
        <w:rPr>
          <w:rFonts w:cs="Arial"/>
          <w:szCs w:val="24"/>
        </w:rPr>
        <w:t xml:space="preserve">ystems or data which is relevant for Adult Social Care. In addition, Local Authorities demonstrate their organisations’ security arrangements, policies and controls are sufficiently rigorous through compliance against a set of assertions within the Code of Connection for the Public Service Network (PSN)  </w:t>
      </w:r>
    </w:p>
    <w:p w14:paraId="354C483E" w14:textId="77777777" w:rsidR="008C4526" w:rsidRPr="00032CF3" w:rsidRDefault="008C4526">
      <w:pPr>
        <w:spacing w:before="0" w:after="160" w:line="259" w:lineRule="auto"/>
        <w:rPr>
          <w:rFonts w:cs="Arial"/>
          <w:color w:val="FF0000"/>
          <w:szCs w:val="24"/>
        </w:rPr>
      </w:pPr>
    </w:p>
    <w:p w14:paraId="4A7C3582" w14:textId="77777777" w:rsidR="008C4526" w:rsidRPr="00032CF3" w:rsidRDefault="008C4526" w:rsidP="00032CF3">
      <w:pPr>
        <w:pStyle w:val="Heading2"/>
      </w:pPr>
      <w:bookmarkStart w:id="80" w:name="_Toc10223090"/>
      <w:r w:rsidRPr="00032CF3">
        <w:lastRenderedPageBreak/>
        <w:t>Appendix L - 2017/19 NHS Standard Contract</w:t>
      </w:r>
      <w:r w:rsidRPr="00032CF3">
        <w:rPr>
          <w:rStyle w:val="FootnoteReference"/>
        </w:rPr>
        <w:footnoteReference w:id="17"/>
      </w:r>
      <w:bookmarkEnd w:id="80"/>
    </w:p>
    <w:p w14:paraId="1A1DA4E7" w14:textId="77777777" w:rsidR="008C4526" w:rsidRPr="00032CF3" w:rsidRDefault="008C4526" w:rsidP="008C4526">
      <w:pPr>
        <w:shd w:val="clear" w:color="auto" w:fill="FFFFFF"/>
        <w:spacing w:before="0" w:after="0" w:line="276" w:lineRule="auto"/>
        <w:jc w:val="both"/>
        <w:rPr>
          <w:rFonts w:cs="Arial"/>
          <w:szCs w:val="24"/>
          <w:lang w:eastAsia="en-GB"/>
        </w:rPr>
      </w:pPr>
      <w:r w:rsidRPr="00032CF3">
        <w:rPr>
          <w:rFonts w:cs="Arial"/>
          <w:szCs w:val="24"/>
          <w:lang w:eastAsia="en-GB"/>
        </w:rPr>
        <w:t xml:space="preserve">Where a Local Authority commissions an NHS agency (The Provider) to deliver its </w:t>
      </w:r>
      <w:r w:rsidRPr="00032CF3">
        <w:rPr>
          <w:rFonts w:cs="Arial"/>
          <w:szCs w:val="24"/>
          <w:lang w:val="en"/>
        </w:rPr>
        <w:t xml:space="preserve">Child and Adolescent </w:t>
      </w:r>
      <w:r w:rsidRPr="00032CF3">
        <w:rPr>
          <w:rFonts w:cs="Arial"/>
          <w:szCs w:val="24"/>
          <w:lang w:eastAsia="en-GB"/>
        </w:rPr>
        <w:t>Mental Health Services (CAMHS) using the NHS Standard Contract, the Local Authority still retains its duty to respond to statutory complaints</w:t>
      </w:r>
    </w:p>
    <w:p w14:paraId="7E4C023D" w14:textId="77777777" w:rsidR="008C4526" w:rsidRPr="00032CF3" w:rsidRDefault="008C4526" w:rsidP="008C4526">
      <w:pPr>
        <w:shd w:val="clear" w:color="auto" w:fill="FFFFFF"/>
        <w:spacing w:before="0" w:after="0" w:line="276" w:lineRule="auto"/>
        <w:jc w:val="both"/>
        <w:rPr>
          <w:rFonts w:cs="Arial"/>
          <w:szCs w:val="24"/>
          <w:lang w:eastAsia="en-GB"/>
        </w:rPr>
      </w:pPr>
    </w:p>
    <w:p w14:paraId="44FED393" w14:textId="77777777" w:rsidR="008C4526" w:rsidRPr="00032CF3" w:rsidRDefault="008C4526" w:rsidP="008C4526">
      <w:pPr>
        <w:shd w:val="clear" w:color="auto" w:fill="FFFFFF"/>
        <w:spacing w:before="0" w:after="0" w:line="276" w:lineRule="auto"/>
        <w:jc w:val="both"/>
        <w:rPr>
          <w:rFonts w:cs="Arial"/>
          <w:szCs w:val="24"/>
          <w:lang w:eastAsia="en-GB"/>
        </w:rPr>
      </w:pPr>
      <w:r w:rsidRPr="00032CF3">
        <w:rPr>
          <w:rFonts w:cs="Arial"/>
          <w:szCs w:val="24"/>
          <w:lang w:eastAsia="en-GB"/>
        </w:rPr>
        <w:t xml:space="preserve">GC21.12 of the Standard Contract states that </w:t>
      </w:r>
      <w:r w:rsidRPr="00032CF3">
        <w:rPr>
          <w:rFonts w:cs="Arial"/>
          <w:i/>
          <w:szCs w:val="24"/>
          <w:lang w:eastAsia="en-GB"/>
        </w:rPr>
        <w:t xml:space="preserve">where a commissioner requires information for “quality management of care processes” (this includes handling complaints about the Provider), the NHS Agency must consider whether the request can be met by anonymised or aggregated data and where personal data is required, ensure there is a legal basis. </w:t>
      </w:r>
      <w:r w:rsidRPr="00032CF3">
        <w:rPr>
          <w:rFonts w:cs="Arial"/>
          <w:szCs w:val="24"/>
          <w:lang w:eastAsia="en-GB"/>
        </w:rPr>
        <w:t>This legal basis can be found in GDPR which doesn’t distinguish between commissioners and providers: - Public Task (Art 6) providing the conditions of Art 9(3) are met, under the responsibility of a clinical or social work professional (as listed in DPA 2018 S204</w:t>
      </w:r>
    </w:p>
    <w:p w14:paraId="7F077A27" w14:textId="77777777" w:rsidR="00A401EA" w:rsidRPr="00032CF3" w:rsidRDefault="00A401EA" w:rsidP="008C4526">
      <w:pPr>
        <w:shd w:val="clear" w:color="auto" w:fill="FFFFFF"/>
        <w:spacing w:before="0" w:after="0" w:line="276" w:lineRule="auto"/>
        <w:jc w:val="both"/>
        <w:rPr>
          <w:rFonts w:cs="Arial"/>
          <w:bCs w:val="0"/>
          <w:color w:val="000000"/>
          <w:szCs w:val="24"/>
          <w:lang w:val="en" w:eastAsia="en-GB"/>
        </w:rPr>
      </w:pPr>
    </w:p>
    <w:p w14:paraId="5CE61C82" w14:textId="77777777" w:rsidR="008C4526" w:rsidRPr="00032CF3" w:rsidRDefault="008C4526">
      <w:pPr>
        <w:spacing w:before="0" w:after="160" w:line="259" w:lineRule="auto"/>
        <w:rPr>
          <w:rFonts w:cs="Arial"/>
          <w:color w:val="FF0000"/>
          <w:szCs w:val="24"/>
        </w:rPr>
      </w:pPr>
    </w:p>
    <w:p w14:paraId="02E08843" w14:textId="77777777" w:rsidR="00A401EA" w:rsidRPr="00032CF3" w:rsidRDefault="00A401EA">
      <w:pPr>
        <w:spacing w:before="0" w:after="160" w:line="259" w:lineRule="auto"/>
        <w:rPr>
          <w:rFonts w:cs="Arial"/>
          <w:color w:val="FF0000"/>
          <w:szCs w:val="24"/>
        </w:rPr>
      </w:pPr>
    </w:p>
    <w:p w14:paraId="7AD82E6E" w14:textId="77777777" w:rsidR="00A401EA" w:rsidRPr="00032CF3" w:rsidRDefault="00A401EA">
      <w:pPr>
        <w:spacing w:before="0" w:after="160" w:line="259" w:lineRule="auto"/>
        <w:rPr>
          <w:rFonts w:cs="Arial"/>
          <w:color w:val="FF0000"/>
          <w:szCs w:val="24"/>
        </w:rPr>
      </w:pPr>
    </w:p>
    <w:p w14:paraId="527A25BA" w14:textId="77777777" w:rsidR="00A401EA" w:rsidRPr="00032CF3" w:rsidRDefault="00A401EA">
      <w:pPr>
        <w:spacing w:before="0" w:after="160" w:line="259" w:lineRule="auto"/>
        <w:rPr>
          <w:rFonts w:cs="Arial"/>
          <w:color w:val="FF0000"/>
          <w:szCs w:val="24"/>
        </w:rPr>
      </w:pPr>
    </w:p>
    <w:p w14:paraId="33063367" w14:textId="77777777" w:rsidR="00A401EA" w:rsidRPr="00032CF3" w:rsidRDefault="00A401EA">
      <w:pPr>
        <w:spacing w:before="0" w:after="160" w:line="259" w:lineRule="auto"/>
        <w:rPr>
          <w:rFonts w:cs="Arial"/>
          <w:color w:val="FF0000"/>
          <w:szCs w:val="24"/>
        </w:rPr>
      </w:pPr>
    </w:p>
    <w:p w14:paraId="0FEEC04D" w14:textId="77777777" w:rsidR="00A401EA" w:rsidRPr="00032CF3" w:rsidRDefault="00A401EA">
      <w:pPr>
        <w:spacing w:before="0" w:after="160" w:line="259" w:lineRule="auto"/>
        <w:rPr>
          <w:rFonts w:cs="Arial"/>
          <w:color w:val="FF0000"/>
          <w:szCs w:val="24"/>
        </w:rPr>
      </w:pPr>
    </w:p>
    <w:p w14:paraId="55540132" w14:textId="77777777" w:rsidR="00A401EA" w:rsidRPr="00032CF3" w:rsidRDefault="00A401EA">
      <w:pPr>
        <w:spacing w:before="0" w:after="160" w:line="259" w:lineRule="auto"/>
        <w:rPr>
          <w:rFonts w:cs="Arial"/>
          <w:color w:val="FF0000"/>
          <w:szCs w:val="24"/>
        </w:rPr>
      </w:pPr>
    </w:p>
    <w:p w14:paraId="12BEAFFC" w14:textId="77777777" w:rsidR="00A401EA" w:rsidRPr="00032CF3" w:rsidRDefault="00A401EA">
      <w:pPr>
        <w:spacing w:before="0" w:after="160" w:line="259" w:lineRule="auto"/>
        <w:rPr>
          <w:rFonts w:cs="Arial"/>
          <w:color w:val="FF0000"/>
          <w:szCs w:val="24"/>
        </w:rPr>
      </w:pPr>
    </w:p>
    <w:p w14:paraId="387221B3" w14:textId="77777777" w:rsidR="00A401EA" w:rsidRPr="00032CF3" w:rsidRDefault="00A401EA">
      <w:pPr>
        <w:spacing w:before="0" w:after="160" w:line="259" w:lineRule="auto"/>
        <w:rPr>
          <w:rFonts w:cs="Arial"/>
          <w:color w:val="FF0000"/>
          <w:szCs w:val="24"/>
        </w:rPr>
      </w:pPr>
    </w:p>
    <w:p w14:paraId="0D83B0FD" w14:textId="77777777" w:rsidR="00A401EA" w:rsidRPr="00032CF3" w:rsidRDefault="00A401EA">
      <w:pPr>
        <w:spacing w:before="0" w:after="160" w:line="259" w:lineRule="auto"/>
        <w:rPr>
          <w:rFonts w:cs="Arial"/>
          <w:color w:val="FF0000"/>
          <w:szCs w:val="24"/>
        </w:rPr>
      </w:pPr>
    </w:p>
    <w:p w14:paraId="10298F0A" w14:textId="77777777" w:rsidR="00A401EA" w:rsidRPr="00032CF3" w:rsidRDefault="00A401EA">
      <w:pPr>
        <w:spacing w:before="0" w:after="160" w:line="259" w:lineRule="auto"/>
        <w:rPr>
          <w:rFonts w:cs="Arial"/>
          <w:color w:val="FF0000"/>
          <w:szCs w:val="24"/>
        </w:rPr>
      </w:pPr>
    </w:p>
    <w:p w14:paraId="25611DCB" w14:textId="77777777" w:rsidR="00A401EA" w:rsidRPr="00032CF3" w:rsidRDefault="00A401EA">
      <w:pPr>
        <w:spacing w:before="0" w:after="160" w:line="259" w:lineRule="auto"/>
        <w:rPr>
          <w:rFonts w:cs="Arial"/>
          <w:color w:val="FF0000"/>
          <w:sz w:val="22"/>
        </w:rPr>
      </w:pPr>
    </w:p>
    <w:p w14:paraId="19C0C034" w14:textId="77777777" w:rsidR="00A401EA" w:rsidRPr="00032CF3" w:rsidRDefault="00A401EA">
      <w:pPr>
        <w:spacing w:before="0" w:after="160" w:line="259" w:lineRule="auto"/>
        <w:rPr>
          <w:rFonts w:cs="Arial"/>
          <w:color w:val="FF0000"/>
          <w:sz w:val="22"/>
        </w:rPr>
      </w:pPr>
    </w:p>
    <w:p w14:paraId="129A3AFF" w14:textId="77777777" w:rsidR="00A401EA" w:rsidRPr="00032CF3" w:rsidRDefault="00A401EA">
      <w:pPr>
        <w:spacing w:before="0" w:after="160" w:line="259" w:lineRule="auto"/>
        <w:rPr>
          <w:rFonts w:cs="Arial"/>
          <w:color w:val="FF0000"/>
          <w:sz w:val="22"/>
        </w:rPr>
      </w:pPr>
    </w:p>
    <w:p w14:paraId="41D613A4" w14:textId="77777777" w:rsidR="00A401EA" w:rsidRPr="00032CF3" w:rsidRDefault="00A401EA">
      <w:pPr>
        <w:spacing w:before="0" w:after="160" w:line="259" w:lineRule="auto"/>
        <w:rPr>
          <w:rFonts w:cs="Arial"/>
          <w:color w:val="FF0000"/>
          <w:sz w:val="22"/>
        </w:rPr>
      </w:pPr>
    </w:p>
    <w:p w14:paraId="4CBC4D99" w14:textId="77777777" w:rsidR="00A401EA" w:rsidRPr="00032CF3" w:rsidRDefault="00A401EA">
      <w:pPr>
        <w:spacing w:before="0" w:after="160" w:line="259" w:lineRule="auto"/>
        <w:rPr>
          <w:rFonts w:cs="Arial"/>
          <w:color w:val="FF0000"/>
          <w:sz w:val="22"/>
        </w:rPr>
      </w:pPr>
    </w:p>
    <w:p w14:paraId="6EF9CA4F" w14:textId="77777777" w:rsidR="00A401EA" w:rsidRPr="00032CF3" w:rsidRDefault="00A401EA">
      <w:pPr>
        <w:spacing w:before="0" w:after="160" w:line="259" w:lineRule="auto"/>
        <w:rPr>
          <w:rFonts w:cs="Arial"/>
          <w:color w:val="FF0000"/>
          <w:sz w:val="22"/>
        </w:rPr>
      </w:pPr>
    </w:p>
    <w:p w14:paraId="7FD32FD5" w14:textId="77777777" w:rsidR="00B30BC1" w:rsidRPr="00032CF3" w:rsidRDefault="00B30BC1">
      <w:pPr>
        <w:spacing w:before="0" w:after="160" w:line="259" w:lineRule="auto"/>
        <w:rPr>
          <w:rFonts w:cs="Arial"/>
          <w:color w:val="FF0000"/>
          <w:sz w:val="22"/>
        </w:rPr>
        <w:sectPr w:rsidR="00B30BC1" w:rsidRPr="00032CF3" w:rsidSect="00B85F79">
          <w:pgSz w:w="11900" w:h="16840"/>
          <w:pgMar w:top="993" w:right="1127" w:bottom="993" w:left="993" w:header="0" w:footer="191" w:gutter="0"/>
          <w:cols w:space="708"/>
          <w:docGrid w:linePitch="326"/>
        </w:sectPr>
      </w:pPr>
    </w:p>
    <w:p w14:paraId="63DEF763" w14:textId="77777777" w:rsidR="00C009C6" w:rsidRPr="00032CF3" w:rsidRDefault="00032CF3" w:rsidP="00032CF3">
      <w:pPr>
        <w:pStyle w:val="Heading2"/>
      </w:pPr>
      <w:bookmarkStart w:id="81" w:name="_Toc10223091"/>
      <w:r>
        <w:lastRenderedPageBreak/>
        <w:t xml:space="preserve">Appendix M - </w:t>
      </w:r>
      <w:r w:rsidR="00C009C6" w:rsidRPr="00032CF3">
        <w:t>Assurance Checkpoint Matrix</w:t>
      </w:r>
      <w:r w:rsidR="00335EFD">
        <w:t xml:space="preserve"> </w:t>
      </w:r>
      <w:r w:rsidR="00335EFD">
        <w:t>(for completion by the LHCREs)</w:t>
      </w:r>
      <w:bookmarkEnd w:id="81"/>
    </w:p>
    <w:p w14:paraId="7BC5784A" w14:textId="77777777" w:rsidR="009329E3" w:rsidRDefault="009329E3" w:rsidP="00C009C6">
      <w:pPr>
        <w:rPr>
          <w:rFonts w:cs="Arial"/>
          <w:szCs w:val="24"/>
        </w:rPr>
      </w:pPr>
    </w:p>
    <w:p w14:paraId="61A49B3A" w14:textId="77777777" w:rsidR="00824414" w:rsidRPr="006D376B" w:rsidRDefault="00824414" w:rsidP="00B914EE">
      <w:pPr>
        <w:pStyle w:val="ListParagraph"/>
        <w:numPr>
          <w:ilvl w:val="0"/>
          <w:numId w:val="48"/>
        </w:numPr>
        <w:rPr>
          <w:rFonts w:ascii="Arial" w:hAnsi="Arial"/>
          <w:szCs w:val="24"/>
        </w:rPr>
      </w:pPr>
      <w:r w:rsidRPr="006D376B">
        <w:rPr>
          <w:rFonts w:ascii="Arial" w:hAnsi="Arial"/>
          <w:szCs w:val="24"/>
        </w:rPr>
        <w:t>The Checklist is intended to provide assurance to LHCREs that they are following the guidance outlined in the Framework</w:t>
      </w:r>
    </w:p>
    <w:p w14:paraId="02E3F317" w14:textId="77777777" w:rsidR="00824414" w:rsidRPr="006D376B" w:rsidRDefault="00824414" w:rsidP="00B914EE">
      <w:pPr>
        <w:pStyle w:val="ListParagraph"/>
        <w:numPr>
          <w:ilvl w:val="0"/>
          <w:numId w:val="48"/>
        </w:numPr>
        <w:rPr>
          <w:rFonts w:ascii="Arial" w:hAnsi="Arial"/>
        </w:rPr>
      </w:pPr>
      <w:r w:rsidRPr="006D376B">
        <w:rPr>
          <w:rFonts w:ascii="Arial" w:hAnsi="Arial"/>
        </w:rPr>
        <w:t xml:space="preserve">Each requirement has the associated assurance checkpoints in the associated rows across the page e.g: “Structure requirement” ~ the associated checkpoints (evidence) are 1.1, 1.2, 1.3, 1.4. </w:t>
      </w:r>
    </w:p>
    <w:p w14:paraId="7DF165DC" w14:textId="77777777" w:rsidR="00824414" w:rsidRPr="006D376B" w:rsidRDefault="00824414" w:rsidP="00B914EE">
      <w:pPr>
        <w:pStyle w:val="ListParagraph"/>
        <w:numPr>
          <w:ilvl w:val="0"/>
          <w:numId w:val="48"/>
        </w:numPr>
        <w:rPr>
          <w:rFonts w:ascii="Arial" w:hAnsi="Arial"/>
        </w:rPr>
      </w:pPr>
      <w:r w:rsidRPr="006D376B">
        <w:rPr>
          <w:rFonts w:ascii="Arial" w:hAnsi="Arial"/>
        </w:rPr>
        <w:t xml:space="preserve">LHCRs to use the checklist to self-assess the evidence. (Satisfactory evidence is ticked in the appropriate cell). </w:t>
      </w:r>
    </w:p>
    <w:p w14:paraId="30DDA515" w14:textId="77777777" w:rsidR="00824414" w:rsidRPr="00165B86" w:rsidRDefault="00824414" w:rsidP="00B914EE">
      <w:pPr>
        <w:pStyle w:val="ListParagraph"/>
        <w:numPr>
          <w:ilvl w:val="0"/>
          <w:numId w:val="48"/>
        </w:numPr>
        <w:rPr>
          <w:rFonts w:ascii="Arial" w:hAnsi="Arial"/>
        </w:rPr>
      </w:pPr>
      <w:r w:rsidRPr="00165B86">
        <w:rPr>
          <w:rFonts w:ascii="Arial" w:hAnsi="Arial"/>
          <w:szCs w:val="24"/>
        </w:rPr>
        <w:t>After the self-assessment is complete</w:t>
      </w:r>
      <w:r>
        <w:rPr>
          <w:rFonts w:ascii="Arial" w:hAnsi="Arial"/>
          <w:szCs w:val="24"/>
        </w:rPr>
        <w:t xml:space="preserve"> and the LHCR feels ‘ready’, it can</w:t>
      </w:r>
      <w:r w:rsidRPr="00165B86">
        <w:rPr>
          <w:rFonts w:ascii="Arial" w:hAnsi="Arial"/>
          <w:szCs w:val="24"/>
        </w:rPr>
        <w:t xml:space="preserve"> </w:t>
      </w:r>
      <w:r>
        <w:rPr>
          <w:rFonts w:ascii="Arial" w:hAnsi="Arial"/>
          <w:szCs w:val="24"/>
        </w:rPr>
        <w:t>make sub</w:t>
      </w:r>
      <w:r w:rsidRPr="00165B86">
        <w:rPr>
          <w:rFonts w:ascii="Arial" w:hAnsi="Arial"/>
          <w:szCs w:val="24"/>
        </w:rPr>
        <w:t>mission to the IG Assurance Panel for assurance.</w:t>
      </w:r>
    </w:p>
    <w:p w14:paraId="4212E049" w14:textId="77777777" w:rsidR="00824414" w:rsidRPr="00165B86" w:rsidRDefault="00824414" w:rsidP="00B914EE">
      <w:pPr>
        <w:pStyle w:val="ListParagraph"/>
        <w:numPr>
          <w:ilvl w:val="0"/>
          <w:numId w:val="48"/>
        </w:numPr>
        <w:rPr>
          <w:rFonts w:ascii="Arial" w:hAnsi="Arial"/>
        </w:rPr>
      </w:pPr>
      <w:r>
        <w:rPr>
          <w:rFonts w:ascii="Arial" w:hAnsi="Arial"/>
          <w:szCs w:val="24"/>
        </w:rPr>
        <w:t xml:space="preserve">The </w:t>
      </w:r>
      <w:r w:rsidRPr="00165B86">
        <w:rPr>
          <w:rFonts w:ascii="Arial" w:hAnsi="Arial"/>
          <w:szCs w:val="24"/>
        </w:rPr>
        <w:t xml:space="preserve">LHCR must submit papers to the Panel Administrator </w:t>
      </w:r>
      <w:r w:rsidRPr="00EB40C8">
        <w:rPr>
          <w:rFonts w:ascii="Arial" w:hAnsi="Arial"/>
          <w:b/>
          <w:szCs w:val="24"/>
        </w:rPr>
        <w:t>no later than 1</w:t>
      </w:r>
      <w:r>
        <w:rPr>
          <w:rFonts w:ascii="Arial" w:hAnsi="Arial"/>
          <w:b/>
          <w:szCs w:val="24"/>
        </w:rPr>
        <w:t>5</w:t>
      </w:r>
      <w:r w:rsidRPr="00EB40C8">
        <w:rPr>
          <w:rFonts w:ascii="Arial" w:hAnsi="Arial"/>
          <w:b/>
          <w:szCs w:val="24"/>
        </w:rPr>
        <w:t xml:space="preserve"> days prior to the Panel meeting</w:t>
      </w:r>
      <w:r w:rsidRPr="00165B86">
        <w:rPr>
          <w:rFonts w:ascii="Arial" w:hAnsi="Arial"/>
          <w:szCs w:val="24"/>
        </w:rPr>
        <w:t>. The papers will include a covering letter from the LHCR</w:t>
      </w:r>
      <w:r>
        <w:rPr>
          <w:rFonts w:ascii="Arial" w:hAnsi="Arial"/>
          <w:szCs w:val="24"/>
        </w:rPr>
        <w:t xml:space="preserve"> (see template)</w:t>
      </w:r>
      <w:r w:rsidRPr="00165B86">
        <w:rPr>
          <w:rFonts w:ascii="Arial" w:hAnsi="Arial"/>
          <w:szCs w:val="24"/>
        </w:rPr>
        <w:t xml:space="preserve">, a signed off copy of the Assurance Checklist Matrix and the supporting evidence detailed within the Matrix. </w:t>
      </w:r>
    </w:p>
    <w:p w14:paraId="69331933" w14:textId="77777777" w:rsidR="00824414" w:rsidRDefault="00824414" w:rsidP="00824414"/>
    <w:tbl>
      <w:tblPr>
        <w:tblStyle w:val="TableGrid"/>
        <w:tblW w:w="15309" w:type="dxa"/>
        <w:jc w:val="center"/>
        <w:tblLook w:val="04A0" w:firstRow="1" w:lastRow="0" w:firstColumn="1" w:lastColumn="0" w:noHBand="0" w:noVBand="1"/>
      </w:tblPr>
      <w:tblGrid>
        <w:gridCol w:w="2355"/>
        <w:gridCol w:w="5105"/>
        <w:gridCol w:w="2407"/>
        <w:gridCol w:w="2268"/>
        <w:gridCol w:w="3174"/>
      </w:tblGrid>
      <w:tr w:rsidR="00824414" w:rsidRPr="001B5F11" w14:paraId="2ABF71C0" w14:textId="77777777" w:rsidTr="00824414">
        <w:trPr>
          <w:jc w:val="center"/>
        </w:trPr>
        <w:tc>
          <w:tcPr>
            <w:tcW w:w="2355" w:type="dxa"/>
          </w:tcPr>
          <w:p w14:paraId="685A9AB5" w14:textId="77777777" w:rsidR="00824414" w:rsidRPr="001B5F11" w:rsidRDefault="00824414" w:rsidP="00D80682">
            <w:pPr>
              <w:rPr>
                <w:rFonts w:cs="Arial"/>
                <w:b/>
                <w:sz w:val="18"/>
                <w:szCs w:val="18"/>
              </w:rPr>
            </w:pPr>
            <w:r w:rsidRPr="001B5F11">
              <w:rPr>
                <w:rFonts w:cs="Arial"/>
                <w:b/>
                <w:sz w:val="18"/>
                <w:szCs w:val="18"/>
              </w:rPr>
              <w:t>Requirement (IG Framework)</w:t>
            </w:r>
          </w:p>
        </w:tc>
        <w:tc>
          <w:tcPr>
            <w:tcW w:w="5105" w:type="dxa"/>
          </w:tcPr>
          <w:p w14:paraId="76EE0225" w14:textId="77777777" w:rsidR="00824414" w:rsidRPr="001B5F11" w:rsidRDefault="00824414" w:rsidP="00D80682">
            <w:pPr>
              <w:rPr>
                <w:rFonts w:cs="Arial"/>
                <w:b/>
                <w:sz w:val="18"/>
                <w:szCs w:val="18"/>
              </w:rPr>
            </w:pPr>
            <w:r w:rsidRPr="001B5F11">
              <w:rPr>
                <w:rFonts w:cs="Arial"/>
                <w:b/>
                <w:sz w:val="18"/>
                <w:szCs w:val="18"/>
              </w:rPr>
              <w:t>Assurance Checkpoint (Evidence)</w:t>
            </w:r>
          </w:p>
        </w:tc>
        <w:tc>
          <w:tcPr>
            <w:tcW w:w="2407" w:type="dxa"/>
          </w:tcPr>
          <w:p w14:paraId="23D530F7" w14:textId="77777777" w:rsidR="00824414" w:rsidRPr="001B5F11" w:rsidRDefault="00824414" w:rsidP="00D80682">
            <w:pPr>
              <w:rPr>
                <w:rFonts w:cs="Arial"/>
                <w:b/>
                <w:sz w:val="18"/>
                <w:szCs w:val="18"/>
              </w:rPr>
            </w:pPr>
            <w:r w:rsidRPr="001B5F11">
              <w:rPr>
                <w:rFonts w:cs="Arial"/>
                <w:b/>
                <w:sz w:val="18"/>
                <w:szCs w:val="18"/>
              </w:rPr>
              <w:t>Checkpoint Notes</w:t>
            </w:r>
          </w:p>
        </w:tc>
        <w:tc>
          <w:tcPr>
            <w:tcW w:w="2268" w:type="dxa"/>
          </w:tcPr>
          <w:p w14:paraId="44C44062" w14:textId="77777777" w:rsidR="00824414" w:rsidRPr="0092193A" w:rsidRDefault="00824414" w:rsidP="00D80682">
            <w:pPr>
              <w:rPr>
                <w:rFonts w:cs="Arial"/>
                <w:sz w:val="18"/>
                <w:szCs w:val="18"/>
              </w:rPr>
            </w:pPr>
            <w:r w:rsidRPr="001B5F11">
              <w:rPr>
                <w:rFonts w:cs="Arial"/>
                <w:b/>
                <w:sz w:val="18"/>
                <w:szCs w:val="18"/>
              </w:rPr>
              <w:t>Is the</w:t>
            </w:r>
            <w:r>
              <w:rPr>
                <w:rFonts w:cs="Arial"/>
                <w:b/>
                <w:sz w:val="18"/>
                <w:szCs w:val="18"/>
              </w:rPr>
              <w:t xml:space="preserve">re satisfactory evidence? </w:t>
            </w:r>
            <w:r>
              <w:rPr>
                <w:rFonts w:cs="Arial"/>
                <w:sz w:val="18"/>
                <w:szCs w:val="18"/>
              </w:rPr>
              <w:t>(tick, for ‘yes’)</w:t>
            </w:r>
          </w:p>
        </w:tc>
        <w:tc>
          <w:tcPr>
            <w:tcW w:w="3174" w:type="dxa"/>
          </w:tcPr>
          <w:p w14:paraId="37E6C279" w14:textId="77777777" w:rsidR="00824414" w:rsidRPr="001B5F11" w:rsidRDefault="00824414" w:rsidP="00D80682">
            <w:pPr>
              <w:rPr>
                <w:rFonts w:cs="Arial"/>
                <w:b/>
                <w:sz w:val="18"/>
                <w:szCs w:val="18"/>
              </w:rPr>
            </w:pPr>
            <w:r w:rsidRPr="001B5F11">
              <w:rPr>
                <w:rFonts w:cs="Arial"/>
                <w:b/>
                <w:sz w:val="18"/>
                <w:szCs w:val="18"/>
              </w:rPr>
              <w:t>LHCR comments</w:t>
            </w:r>
          </w:p>
        </w:tc>
      </w:tr>
      <w:tr w:rsidR="00824414" w:rsidRPr="001B5F11" w14:paraId="2DB0514B" w14:textId="77777777" w:rsidTr="00824414">
        <w:trPr>
          <w:jc w:val="center"/>
        </w:trPr>
        <w:tc>
          <w:tcPr>
            <w:tcW w:w="2355" w:type="dxa"/>
            <w:vMerge w:val="restart"/>
          </w:tcPr>
          <w:p w14:paraId="0D7BABC5" w14:textId="77777777" w:rsidR="00824414" w:rsidRPr="001B5F11" w:rsidRDefault="00824414" w:rsidP="00B914EE">
            <w:pPr>
              <w:pStyle w:val="ListParagraph"/>
              <w:numPr>
                <w:ilvl w:val="0"/>
                <w:numId w:val="28"/>
              </w:numPr>
              <w:tabs>
                <w:tab w:val="clear" w:pos="4890"/>
              </w:tabs>
              <w:spacing w:line="276" w:lineRule="auto"/>
              <w:contextualSpacing w:val="0"/>
              <w:jc w:val="left"/>
              <w:rPr>
                <w:rFonts w:ascii="Arial" w:hAnsi="Arial"/>
                <w:sz w:val="18"/>
                <w:szCs w:val="18"/>
              </w:rPr>
            </w:pPr>
            <w:r w:rsidRPr="001B5F11">
              <w:rPr>
                <w:rFonts w:ascii="Arial" w:hAnsi="Arial"/>
                <w:b/>
                <w:sz w:val="18"/>
                <w:szCs w:val="18"/>
              </w:rPr>
              <w:t xml:space="preserve">Structure </w:t>
            </w:r>
          </w:p>
          <w:p w14:paraId="5C794FF3" w14:textId="77777777" w:rsidR="00824414" w:rsidRPr="001B5F11" w:rsidRDefault="00824414" w:rsidP="00D80682">
            <w:pPr>
              <w:spacing w:line="276" w:lineRule="auto"/>
              <w:rPr>
                <w:rFonts w:cs="Arial"/>
                <w:b/>
                <w:sz w:val="18"/>
                <w:szCs w:val="18"/>
              </w:rPr>
            </w:pPr>
            <w:r w:rsidRPr="001B5F11">
              <w:rPr>
                <w:rFonts w:cs="Arial"/>
                <w:sz w:val="18"/>
                <w:szCs w:val="18"/>
              </w:rPr>
              <w:t>Each LHCR has a consistent approach to IG policy, processes and systems and is part of an IG structure which ensures good IG practice across the LHCR.</w:t>
            </w:r>
          </w:p>
        </w:tc>
        <w:tc>
          <w:tcPr>
            <w:tcW w:w="5105" w:type="dxa"/>
          </w:tcPr>
          <w:p w14:paraId="34FCFDA3" w14:textId="77777777" w:rsidR="00824414" w:rsidRPr="001B5F11" w:rsidRDefault="00824414" w:rsidP="00B914EE">
            <w:pPr>
              <w:pStyle w:val="ListParagraph"/>
              <w:numPr>
                <w:ilvl w:val="1"/>
                <w:numId w:val="29"/>
              </w:numPr>
              <w:tabs>
                <w:tab w:val="clear" w:pos="4890"/>
              </w:tabs>
              <w:spacing w:before="0" w:after="0" w:line="276" w:lineRule="auto"/>
              <w:ind w:left="0"/>
              <w:contextualSpacing w:val="0"/>
              <w:jc w:val="left"/>
              <w:rPr>
                <w:rFonts w:ascii="Arial" w:hAnsi="Arial"/>
                <w:sz w:val="18"/>
                <w:szCs w:val="18"/>
              </w:rPr>
            </w:pPr>
            <w:r>
              <w:rPr>
                <w:rFonts w:ascii="Arial" w:hAnsi="Arial"/>
                <w:sz w:val="18"/>
                <w:szCs w:val="18"/>
              </w:rPr>
              <w:t xml:space="preserve">1.1 </w:t>
            </w:r>
            <w:r w:rsidRPr="001B5F11">
              <w:rPr>
                <w:rFonts w:ascii="Arial" w:hAnsi="Arial"/>
                <w:sz w:val="18"/>
                <w:szCs w:val="18"/>
              </w:rPr>
              <w:t>Appointment of a LHCR IG Lead (subject matter expert)</w:t>
            </w:r>
          </w:p>
        </w:tc>
        <w:tc>
          <w:tcPr>
            <w:tcW w:w="2407" w:type="dxa"/>
          </w:tcPr>
          <w:p w14:paraId="689B2051" w14:textId="77777777" w:rsidR="00824414" w:rsidRPr="001B5F11" w:rsidRDefault="00824414" w:rsidP="00D80682">
            <w:pPr>
              <w:rPr>
                <w:rFonts w:cs="Arial"/>
                <w:sz w:val="18"/>
                <w:szCs w:val="18"/>
              </w:rPr>
            </w:pPr>
            <w:r w:rsidRPr="001B5F11">
              <w:rPr>
                <w:rFonts w:cs="Arial"/>
                <w:sz w:val="18"/>
                <w:szCs w:val="18"/>
              </w:rPr>
              <w:t>N/A</w:t>
            </w:r>
          </w:p>
        </w:tc>
        <w:tc>
          <w:tcPr>
            <w:tcW w:w="2268" w:type="dxa"/>
          </w:tcPr>
          <w:p w14:paraId="2233B5EB" w14:textId="77777777" w:rsidR="00824414" w:rsidRPr="001B5F11" w:rsidRDefault="00824414" w:rsidP="00D80682">
            <w:pPr>
              <w:rPr>
                <w:rFonts w:cs="Arial"/>
                <w:sz w:val="18"/>
                <w:szCs w:val="18"/>
              </w:rPr>
            </w:pPr>
          </w:p>
        </w:tc>
        <w:tc>
          <w:tcPr>
            <w:tcW w:w="3174" w:type="dxa"/>
          </w:tcPr>
          <w:p w14:paraId="34D6C0D4" w14:textId="77777777" w:rsidR="00824414" w:rsidRPr="001B5F11" w:rsidRDefault="00824414" w:rsidP="00D80682">
            <w:pPr>
              <w:rPr>
                <w:rFonts w:cs="Arial"/>
                <w:sz w:val="18"/>
                <w:szCs w:val="18"/>
              </w:rPr>
            </w:pPr>
          </w:p>
        </w:tc>
      </w:tr>
      <w:tr w:rsidR="00824414" w:rsidRPr="001B5F11" w14:paraId="237FC991" w14:textId="77777777" w:rsidTr="00824414">
        <w:trPr>
          <w:jc w:val="center"/>
        </w:trPr>
        <w:tc>
          <w:tcPr>
            <w:tcW w:w="2355" w:type="dxa"/>
            <w:vMerge/>
          </w:tcPr>
          <w:p w14:paraId="602B80A3" w14:textId="77777777" w:rsidR="00824414" w:rsidRPr="001B5F11" w:rsidRDefault="00824414" w:rsidP="00D80682">
            <w:pPr>
              <w:rPr>
                <w:rFonts w:cs="Arial"/>
                <w:sz w:val="18"/>
                <w:szCs w:val="18"/>
              </w:rPr>
            </w:pPr>
          </w:p>
        </w:tc>
        <w:tc>
          <w:tcPr>
            <w:tcW w:w="5105" w:type="dxa"/>
          </w:tcPr>
          <w:p w14:paraId="7FF2D79C" w14:textId="77777777" w:rsidR="00824414" w:rsidRPr="001B5F11" w:rsidRDefault="00824414" w:rsidP="00B914EE">
            <w:pPr>
              <w:pStyle w:val="ListParagraph"/>
              <w:numPr>
                <w:ilvl w:val="1"/>
                <w:numId w:val="29"/>
              </w:numPr>
              <w:tabs>
                <w:tab w:val="clear" w:pos="4890"/>
              </w:tabs>
              <w:autoSpaceDN w:val="0"/>
              <w:spacing w:before="0" w:after="0" w:line="276" w:lineRule="auto"/>
              <w:ind w:left="0"/>
              <w:jc w:val="left"/>
              <w:rPr>
                <w:rFonts w:ascii="Arial" w:hAnsi="Arial"/>
                <w:color w:val="000000" w:themeColor="text1"/>
                <w:sz w:val="18"/>
                <w:szCs w:val="18"/>
              </w:rPr>
            </w:pPr>
            <w:r>
              <w:rPr>
                <w:rFonts w:ascii="Arial" w:hAnsi="Arial"/>
                <w:sz w:val="18"/>
                <w:szCs w:val="18"/>
              </w:rPr>
              <w:t xml:space="preserve">1.2 </w:t>
            </w:r>
            <w:r w:rsidRPr="001B5F11">
              <w:rPr>
                <w:rFonts w:ascii="Arial" w:hAnsi="Arial"/>
                <w:sz w:val="18"/>
                <w:szCs w:val="18"/>
              </w:rPr>
              <w:t xml:space="preserve">LHCR IG Lead is a member of the LHCR IG Leads Network and attends national strategic IG meetings </w:t>
            </w:r>
          </w:p>
        </w:tc>
        <w:tc>
          <w:tcPr>
            <w:tcW w:w="2407" w:type="dxa"/>
          </w:tcPr>
          <w:p w14:paraId="2246792E" w14:textId="77777777" w:rsidR="00824414" w:rsidRPr="001B5F11" w:rsidRDefault="00824414" w:rsidP="00D80682">
            <w:pPr>
              <w:rPr>
                <w:rFonts w:cs="Arial"/>
                <w:sz w:val="18"/>
                <w:szCs w:val="18"/>
              </w:rPr>
            </w:pPr>
            <w:r w:rsidRPr="001B5F11">
              <w:rPr>
                <w:rFonts w:cs="Arial"/>
                <w:sz w:val="18"/>
                <w:szCs w:val="18"/>
              </w:rPr>
              <w:t>N/A</w:t>
            </w:r>
          </w:p>
        </w:tc>
        <w:tc>
          <w:tcPr>
            <w:tcW w:w="2268" w:type="dxa"/>
          </w:tcPr>
          <w:p w14:paraId="04A396C8" w14:textId="77777777" w:rsidR="00824414" w:rsidRPr="001B5F11" w:rsidRDefault="00824414" w:rsidP="00D80682">
            <w:pPr>
              <w:rPr>
                <w:rFonts w:cs="Arial"/>
                <w:sz w:val="18"/>
                <w:szCs w:val="18"/>
              </w:rPr>
            </w:pPr>
          </w:p>
        </w:tc>
        <w:tc>
          <w:tcPr>
            <w:tcW w:w="3174" w:type="dxa"/>
          </w:tcPr>
          <w:p w14:paraId="12DC2B8F" w14:textId="77777777" w:rsidR="00824414" w:rsidRPr="001B5F11" w:rsidRDefault="00824414" w:rsidP="00D80682">
            <w:pPr>
              <w:rPr>
                <w:rFonts w:cs="Arial"/>
                <w:sz w:val="18"/>
                <w:szCs w:val="18"/>
              </w:rPr>
            </w:pPr>
          </w:p>
        </w:tc>
      </w:tr>
      <w:tr w:rsidR="00824414" w:rsidRPr="001B5F11" w14:paraId="6F7645EF" w14:textId="77777777" w:rsidTr="00824414">
        <w:trPr>
          <w:jc w:val="center"/>
        </w:trPr>
        <w:tc>
          <w:tcPr>
            <w:tcW w:w="2355" w:type="dxa"/>
            <w:vMerge/>
          </w:tcPr>
          <w:p w14:paraId="7864977D" w14:textId="77777777" w:rsidR="00824414" w:rsidRPr="001B5F11" w:rsidRDefault="00824414" w:rsidP="00D80682">
            <w:pPr>
              <w:rPr>
                <w:rFonts w:cs="Arial"/>
                <w:sz w:val="18"/>
                <w:szCs w:val="18"/>
              </w:rPr>
            </w:pPr>
          </w:p>
        </w:tc>
        <w:tc>
          <w:tcPr>
            <w:tcW w:w="5105" w:type="dxa"/>
          </w:tcPr>
          <w:p w14:paraId="4614921E" w14:textId="77777777" w:rsidR="00824414" w:rsidRPr="001B5F11" w:rsidRDefault="00824414" w:rsidP="00B914EE">
            <w:pPr>
              <w:pStyle w:val="ListParagraph"/>
              <w:numPr>
                <w:ilvl w:val="1"/>
                <w:numId w:val="29"/>
              </w:numPr>
              <w:tabs>
                <w:tab w:val="clear" w:pos="4890"/>
              </w:tabs>
              <w:spacing w:before="0" w:after="0" w:line="276" w:lineRule="auto"/>
              <w:ind w:left="0"/>
              <w:contextualSpacing w:val="0"/>
              <w:jc w:val="left"/>
              <w:rPr>
                <w:rFonts w:ascii="Arial" w:hAnsi="Arial"/>
                <w:sz w:val="18"/>
                <w:szCs w:val="18"/>
              </w:rPr>
            </w:pPr>
            <w:r>
              <w:rPr>
                <w:rFonts w:ascii="Arial" w:hAnsi="Arial"/>
                <w:sz w:val="18"/>
                <w:szCs w:val="18"/>
              </w:rPr>
              <w:t xml:space="preserve">1.3 </w:t>
            </w:r>
            <w:r w:rsidRPr="001B5F11">
              <w:rPr>
                <w:rFonts w:ascii="Arial" w:hAnsi="Arial"/>
                <w:sz w:val="18"/>
                <w:szCs w:val="18"/>
              </w:rPr>
              <w:t xml:space="preserve">Structure chart for LHCR Information Governance and communication input </w:t>
            </w:r>
          </w:p>
        </w:tc>
        <w:tc>
          <w:tcPr>
            <w:tcW w:w="2407" w:type="dxa"/>
          </w:tcPr>
          <w:p w14:paraId="1E365E8B" w14:textId="77777777" w:rsidR="00824414" w:rsidRPr="001B5F11" w:rsidRDefault="00824414" w:rsidP="00D80682">
            <w:pPr>
              <w:pStyle w:val="PlainText"/>
              <w:rPr>
                <w:rFonts w:ascii="Arial" w:hAnsi="Arial" w:cs="Arial"/>
                <w:sz w:val="18"/>
                <w:szCs w:val="18"/>
              </w:rPr>
            </w:pPr>
            <w:r w:rsidRPr="001B5F11">
              <w:rPr>
                <w:rFonts w:ascii="Arial" w:hAnsi="Arial" w:cs="Arial"/>
                <w:sz w:val="18"/>
                <w:szCs w:val="18"/>
              </w:rPr>
              <w:t>N/A</w:t>
            </w:r>
          </w:p>
        </w:tc>
        <w:tc>
          <w:tcPr>
            <w:tcW w:w="2268" w:type="dxa"/>
          </w:tcPr>
          <w:p w14:paraId="26D5C593" w14:textId="77777777" w:rsidR="00824414" w:rsidRPr="001B5F11" w:rsidRDefault="00824414" w:rsidP="00D80682">
            <w:pPr>
              <w:rPr>
                <w:rFonts w:cs="Arial"/>
                <w:sz w:val="18"/>
                <w:szCs w:val="18"/>
              </w:rPr>
            </w:pPr>
          </w:p>
        </w:tc>
        <w:tc>
          <w:tcPr>
            <w:tcW w:w="3174" w:type="dxa"/>
          </w:tcPr>
          <w:p w14:paraId="72097263" w14:textId="77777777" w:rsidR="00824414" w:rsidRPr="001B5F11" w:rsidRDefault="00824414" w:rsidP="00D80682">
            <w:pPr>
              <w:rPr>
                <w:rFonts w:cs="Arial"/>
                <w:sz w:val="18"/>
                <w:szCs w:val="18"/>
              </w:rPr>
            </w:pPr>
          </w:p>
        </w:tc>
      </w:tr>
      <w:tr w:rsidR="00824414" w:rsidRPr="001B5F11" w14:paraId="48B7DFB5" w14:textId="77777777" w:rsidTr="00824414">
        <w:trPr>
          <w:jc w:val="center"/>
        </w:trPr>
        <w:tc>
          <w:tcPr>
            <w:tcW w:w="2355" w:type="dxa"/>
            <w:vMerge/>
            <w:tcBorders>
              <w:bottom w:val="single" w:sz="4" w:space="0" w:color="auto"/>
            </w:tcBorders>
          </w:tcPr>
          <w:p w14:paraId="2765D956" w14:textId="77777777" w:rsidR="00824414" w:rsidRPr="001B5F11" w:rsidRDefault="00824414" w:rsidP="00D80682">
            <w:pPr>
              <w:rPr>
                <w:rFonts w:cs="Arial"/>
                <w:sz w:val="18"/>
                <w:szCs w:val="18"/>
              </w:rPr>
            </w:pPr>
          </w:p>
        </w:tc>
        <w:tc>
          <w:tcPr>
            <w:tcW w:w="5105" w:type="dxa"/>
            <w:tcBorders>
              <w:bottom w:val="single" w:sz="4" w:space="0" w:color="auto"/>
            </w:tcBorders>
          </w:tcPr>
          <w:p w14:paraId="094F874C" w14:textId="77777777" w:rsidR="00824414" w:rsidRPr="001B5F11" w:rsidRDefault="00824414" w:rsidP="00D80682">
            <w:pPr>
              <w:spacing w:line="276" w:lineRule="auto"/>
              <w:rPr>
                <w:rFonts w:cs="Arial"/>
                <w:color w:val="FF0000"/>
                <w:sz w:val="18"/>
                <w:szCs w:val="18"/>
              </w:rPr>
            </w:pPr>
            <w:r w:rsidRPr="001B5F11">
              <w:rPr>
                <w:rFonts w:cs="Arial"/>
                <w:sz w:val="18"/>
                <w:szCs w:val="18"/>
              </w:rPr>
              <w:t>1.4 Evidence of information Governance policies</w:t>
            </w:r>
          </w:p>
        </w:tc>
        <w:tc>
          <w:tcPr>
            <w:tcW w:w="2407" w:type="dxa"/>
            <w:tcBorders>
              <w:bottom w:val="single" w:sz="4" w:space="0" w:color="auto"/>
            </w:tcBorders>
          </w:tcPr>
          <w:p w14:paraId="4B0613EC" w14:textId="77777777" w:rsidR="00824414" w:rsidRPr="001B5F11" w:rsidRDefault="00824414" w:rsidP="00D80682">
            <w:pPr>
              <w:pStyle w:val="PlainText"/>
              <w:rPr>
                <w:rFonts w:ascii="Arial" w:hAnsi="Arial" w:cs="Arial"/>
                <w:sz w:val="18"/>
                <w:szCs w:val="18"/>
              </w:rPr>
            </w:pPr>
            <w:r w:rsidRPr="001B5F11">
              <w:rPr>
                <w:rFonts w:ascii="Arial" w:hAnsi="Arial" w:cs="Arial"/>
                <w:sz w:val="18"/>
                <w:szCs w:val="18"/>
              </w:rPr>
              <w:t>N/A</w:t>
            </w:r>
          </w:p>
        </w:tc>
        <w:tc>
          <w:tcPr>
            <w:tcW w:w="2268" w:type="dxa"/>
            <w:tcBorders>
              <w:bottom w:val="single" w:sz="4" w:space="0" w:color="auto"/>
            </w:tcBorders>
          </w:tcPr>
          <w:p w14:paraId="4337301B" w14:textId="77777777" w:rsidR="00824414" w:rsidRPr="001B5F11" w:rsidRDefault="00824414" w:rsidP="00D80682">
            <w:pPr>
              <w:rPr>
                <w:rFonts w:cs="Arial"/>
                <w:sz w:val="18"/>
                <w:szCs w:val="18"/>
              </w:rPr>
            </w:pPr>
          </w:p>
        </w:tc>
        <w:tc>
          <w:tcPr>
            <w:tcW w:w="3174" w:type="dxa"/>
            <w:tcBorders>
              <w:bottom w:val="single" w:sz="4" w:space="0" w:color="auto"/>
            </w:tcBorders>
          </w:tcPr>
          <w:p w14:paraId="373D60D0" w14:textId="77777777" w:rsidR="00824414" w:rsidRPr="001B5F11" w:rsidRDefault="00824414" w:rsidP="00D80682">
            <w:pPr>
              <w:rPr>
                <w:rFonts w:cs="Arial"/>
                <w:sz w:val="18"/>
                <w:szCs w:val="18"/>
              </w:rPr>
            </w:pPr>
          </w:p>
        </w:tc>
      </w:tr>
      <w:tr w:rsidR="00824414" w:rsidRPr="001B5F11" w14:paraId="517BB991" w14:textId="77777777" w:rsidTr="00824414">
        <w:trPr>
          <w:jc w:val="center"/>
        </w:trPr>
        <w:tc>
          <w:tcPr>
            <w:tcW w:w="2355" w:type="dxa"/>
            <w:vMerge w:val="restart"/>
          </w:tcPr>
          <w:p w14:paraId="510DFBEB" w14:textId="77777777" w:rsidR="00824414" w:rsidRPr="001B5F11" w:rsidRDefault="00824414" w:rsidP="00B914EE">
            <w:pPr>
              <w:pStyle w:val="ListParagraph"/>
              <w:numPr>
                <w:ilvl w:val="0"/>
                <w:numId w:val="28"/>
              </w:numPr>
              <w:rPr>
                <w:rFonts w:ascii="Arial" w:hAnsi="Arial"/>
                <w:sz w:val="18"/>
                <w:szCs w:val="18"/>
              </w:rPr>
            </w:pPr>
            <w:r w:rsidRPr="001B5F11">
              <w:rPr>
                <w:rFonts w:ascii="Arial" w:hAnsi="Arial"/>
                <w:sz w:val="18"/>
                <w:szCs w:val="18"/>
              </w:rPr>
              <w:t>Legal Requirements</w:t>
            </w:r>
          </w:p>
          <w:p w14:paraId="2086460F" w14:textId="77777777" w:rsidR="00824414" w:rsidRPr="001B5F11" w:rsidRDefault="00824414" w:rsidP="00D80682">
            <w:pPr>
              <w:rPr>
                <w:rFonts w:cs="Arial"/>
                <w:sz w:val="18"/>
                <w:szCs w:val="18"/>
              </w:rPr>
            </w:pPr>
            <w:r w:rsidRPr="001B5F11">
              <w:rPr>
                <w:rFonts w:cs="Arial"/>
                <w:sz w:val="18"/>
                <w:szCs w:val="18"/>
              </w:rPr>
              <w:t>Each LHCR understanding how participating organisations meets the legal requirements to process confidential patient information, including statutory basis, conditions for processing and considerations under the Common Law Duty of Confidence</w:t>
            </w:r>
          </w:p>
        </w:tc>
        <w:tc>
          <w:tcPr>
            <w:tcW w:w="5105" w:type="dxa"/>
          </w:tcPr>
          <w:p w14:paraId="5A3A5F33" w14:textId="77777777" w:rsidR="00824414" w:rsidRPr="001B5F11" w:rsidRDefault="00824414" w:rsidP="00D80682">
            <w:pPr>
              <w:spacing w:line="276" w:lineRule="auto"/>
              <w:rPr>
                <w:rFonts w:cs="Arial"/>
                <w:sz w:val="18"/>
                <w:szCs w:val="18"/>
              </w:rPr>
            </w:pPr>
            <w:r w:rsidRPr="001B5F11">
              <w:rPr>
                <w:rFonts w:cs="Arial"/>
                <w:sz w:val="18"/>
                <w:szCs w:val="18"/>
              </w:rPr>
              <w:t>2.1 Evidence of a statement for each organisation involved in the collective sharing setting out the purpose, lawful basis for processing, duty of confidence satisfied</w:t>
            </w:r>
          </w:p>
          <w:p w14:paraId="0C6318BF" w14:textId="77777777" w:rsidR="00824414" w:rsidRPr="001B5F11" w:rsidRDefault="00824414" w:rsidP="00D80682">
            <w:pPr>
              <w:spacing w:line="276" w:lineRule="auto"/>
              <w:rPr>
                <w:rFonts w:cs="Arial"/>
                <w:sz w:val="18"/>
                <w:szCs w:val="18"/>
              </w:rPr>
            </w:pPr>
          </w:p>
        </w:tc>
        <w:tc>
          <w:tcPr>
            <w:tcW w:w="2407" w:type="dxa"/>
          </w:tcPr>
          <w:p w14:paraId="50B91C78" w14:textId="77777777" w:rsidR="00824414" w:rsidRPr="001B5F11" w:rsidRDefault="00824414" w:rsidP="00D80682">
            <w:pPr>
              <w:rPr>
                <w:rFonts w:cs="Arial"/>
                <w:sz w:val="18"/>
                <w:szCs w:val="18"/>
              </w:rPr>
            </w:pPr>
            <w:r w:rsidRPr="001B5F11">
              <w:rPr>
                <w:rFonts w:cs="Arial"/>
                <w:sz w:val="18"/>
                <w:szCs w:val="18"/>
              </w:rPr>
              <w:t>N/A</w:t>
            </w:r>
          </w:p>
        </w:tc>
        <w:tc>
          <w:tcPr>
            <w:tcW w:w="2268" w:type="dxa"/>
          </w:tcPr>
          <w:p w14:paraId="68861390" w14:textId="77777777" w:rsidR="00824414" w:rsidRPr="001B5F11" w:rsidRDefault="00824414" w:rsidP="00D80682">
            <w:pPr>
              <w:rPr>
                <w:rFonts w:cs="Arial"/>
                <w:sz w:val="18"/>
                <w:szCs w:val="18"/>
              </w:rPr>
            </w:pPr>
          </w:p>
        </w:tc>
        <w:tc>
          <w:tcPr>
            <w:tcW w:w="3174" w:type="dxa"/>
          </w:tcPr>
          <w:p w14:paraId="7AA971B2" w14:textId="77777777" w:rsidR="00824414" w:rsidRPr="001B5F11" w:rsidRDefault="00824414" w:rsidP="00D80682">
            <w:pPr>
              <w:rPr>
                <w:rFonts w:cs="Arial"/>
                <w:sz w:val="18"/>
                <w:szCs w:val="18"/>
              </w:rPr>
            </w:pPr>
          </w:p>
        </w:tc>
      </w:tr>
      <w:tr w:rsidR="00824414" w:rsidRPr="001B5F11" w14:paraId="6A9C3B1A" w14:textId="77777777" w:rsidTr="00824414">
        <w:trPr>
          <w:jc w:val="center"/>
        </w:trPr>
        <w:tc>
          <w:tcPr>
            <w:tcW w:w="2355" w:type="dxa"/>
            <w:vMerge/>
          </w:tcPr>
          <w:p w14:paraId="128ACBEA" w14:textId="77777777" w:rsidR="00824414" w:rsidRPr="001B5F11" w:rsidRDefault="00824414" w:rsidP="00D80682">
            <w:pPr>
              <w:rPr>
                <w:rFonts w:cs="Arial"/>
                <w:sz w:val="18"/>
                <w:szCs w:val="18"/>
              </w:rPr>
            </w:pPr>
          </w:p>
        </w:tc>
        <w:tc>
          <w:tcPr>
            <w:tcW w:w="5105" w:type="dxa"/>
          </w:tcPr>
          <w:p w14:paraId="71BD9A7C" w14:textId="77777777" w:rsidR="00824414" w:rsidRPr="001B5F11" w:rsidRDefault="00824414" w:rsidP="00D80682">
            <w:pPr>
              <w:spacing w:line="276" w:lineRule="auto"/>
              <w:jc w:val="both"/>
              <w:rPr>
                <w:rFonts w:cs="Arial"/>
                <w:sz w:val="18"/>
                <w:szCs w:val="18"/>
              </w:rPr>
            </w:pPr>
            <w:r w:rsidRPr="001B5F11">
              <w:rPr>
                <w:rFonts w:cs="Arial"/>
                <w:sz w:val="18"/>
                <w:szCs w:val="18"/>
              </w:rPr>
              <w:t>2.2 LHCR will have a Privacy Notice stating what data is collected, stored, shared and retained and for how long. The Privacy Notice must also include information on patient preferences</w:t>
            </w:r>
          </w:p>
        </w:tc>
        <w:tc>
          <w:tcPr>
            <w:tcW w:w="2407" w:type="dxa"/>
          </w:tcPr>
          <w:p w14:paraId="11DC7605" w14:textId="77777777" w:rsidR="00824414" w:rsidRPr="006D376B" w:rsidRDefault="00824414" w:rsidP="00D80682">
            <w:pPr>
              <w:pStyle w:val="PlainText"/>
              <w:rPr>
                <w:rFonts w:ascii="Arial" w:hAnsi="Arial" w:cs="Arial"/>
                <w:sz w:val="18"/>
                <w:szCs w:val="18"/>
              </w:rPr>
            </w:pPr>
            <w:r w:rsidRPr="006D376B">
              <w:rPr>
                <w:rFonts w:ascii="Arial" w:hAnsi="Arial" w:cs="Arial"/>
                <w:sz w:val="18"/>
                <w:szCs w:val="18"/>
              </w:rPr>
              <w:t>NB. This evidence (Privacy Notice) relates to two checkpoints: 2.2, 3.1</w:t>
            </w:r>
          </w:p>
        </w:tc>
        <w:tc>
          <w:tcPr>
            <w:tcW w:w="2268" w:type="dxa"/>
          </w:tcPr>
          <w:p w14:paraId="51A851BE" w14:textId="77777777" w:rsidR="00824414" w:rsidRPr="001B5F11" w:rsidRDefault="00824414" w:rsidP="00D80682">
            <w:pPr>
              <w:rPr>
                <w:rFonts w:cs="Arial"/>
                <w:sz w:val="18"/>
                <w:szCs w:val="18"/>
              </w:rPr>
            </w:pPr>
          </w:p>
        </w:tc>
        <w:tc>
          <w:tcPr>
            <w:tcW w:w="3174" w:type="dxa"/>
          </w:tcPr>
          <w:p w14:paraId="4154BB24" w14:textId="77777777" w:rsidR="00824414" w:rsidRPr="001B5F11" w:rsidRDefault="00824414" w:rsidP="00D80682">
            <w:pPr>
              <w:rPr>
                <w:rFonts w:cs="Arial"/>
                <w:sz w:val="18"/>
                <w:szCs w:val="18"/>
              </w:rPr>
            </w:pPr>
          </w:p>
        </w:tc>
      </w:tr>
      <w:tr w:rsidR="00824414" w:rsidRPr="001B5F11" w14:paraId="3B3007AD" w14:textId="77777777" w:rsidTr="00824414">
        <w:trPr>
          <w:jc w:val="center"/>
        </w:trPr>
        <w:tc>
          <w:tcPr>
            <w:tcW w:w="2355" w:type="dxa"/>
            <w:vMerge/>
          </w:tcPr>
          <w:p w14:paraId="06944B49" w14:textId="77777777" w:rsidR="00824414" w:rsidRPr="001B5F11" w:rsidRDefault="00824414" w:rsidP="00D80682">
            <w:pPr>
              <w:rPr>
                <w:rFonts w:cs="Arial"/>
                <w:sz w:val="18"/>
                <w:szCs w:val="18"/>
              </w:rPr>
            </w:pPr>
          </w:p>
        </w:tc>
        <w:tc>
          <w:tcPr>
            <w:tcW w:w="5105" w:type="dxa"/>
          </w:tcPr>
          <w:p w14:paraId="0218E625" w14:textId="77777777" w:rsidR="00824414" w:rsidRPr="001B5F11" w:rsidRDefault="00824414" w:rsidP="00D80682">
            <w:pPr>
              <w:spacing w:line="276" w:lineRule="auto"/>
              <w:jc w:val="both"/>
              <w:rPr>
                <w:rFonts w:cs="Arial"/>
                <w:sz w:val="18"/>
                <w:szCs w:val="18"/>
              </w:rPr>
            </w:pPr>
            <w:r w:rsidRPr="001B5F11">
              <w:rPr>
                <w:rFonts w:cs="Arial"/>
                <w:sz w:val="18"/>
                <w:szCs w:val="18"/>
              </w:rPr>
              <w:t>2.3 Agreed approach across each LHCR for the management of patient objections to share their data for individual care</w:t>
            </w:r>
          </w:p>
        </w:tc>
        <w:tc>
          <w:tcPr>
            <w:tcW w:w="2407" w:type="dxa"/>
          </w:tcPr>
          <w:p w14:paraId="1041DCE1" w14:textId="77777777" w:rsidR="00824414" w:rsidRPr="006D376B" w:rsidRDefault="00824414" w:rsidP="00D80682">
            <w:pPr>
              <w:spacing w:line="276" w:lineRule="auto"/>
              <w:rPr>
                <w:rFonts w:cs="Arial"/>
                <w:sz w:val="18"/>
                <w:szCs w:val="18"/>
              </w:rPr>
            </w:pPr>
            <w:r w:rsidRPr="006D376B">
              <w:rPr>
                <w:rFonts w:cs="Arial"/>
                <w:sz w:val="18"/>
                <w:szCs w:val="18"/>
              </w:rPr>
              <w:t>NB. Th</w:t>
            </w:r>
            <w:r>
              <w:rPr>
                <w:rFonts w:cs="Arial"/>
                <w:sz w:val="18"/>
                <w:szCs w:val="18"/>
              </w:rPr>
              <w:t>is</w:t>
            </w:r>
            <w:r w:rsidRPr="006D376B">
              <w:rPr>
                <w:rFonts w:cs="Arial"/>
                <w:sz w:val="18"/>
                <w:szCs w:val="18"/>
              </w:rPr>
              <w:t xml:space="preserve"> evidence relates to two checkpoints: 2.3, 8.3</w:t>
            </w:r>
          </w:p>
        </w:tc>
        <w:tc>
          <w:tcPr>
            <w:tcW w:w="2268" w:type="dxa"/>
          </w:tcPr>
          <w:p w14:paraId="49C36980" w14:textId="77777777" w:rsidR="00824414" w:rsidRPr="001B5F11" w:rsidRDefault="00824414" w:rsidP="00D80682">
            <w:pPr>
              <w:rPr>
                <w:rFonts w:cs="Arial"/>
                <w:sz w:val="18"/>
                <w:szCs w:val="18"/>
              </w:rPr>
            </w:pPr>
          </w:p>
        </w:tc>
        <w:tc>
          <w:tcPr>
            <w:tcW w:w="3174" w:type="dxa"/>
          </w:tcPr>
          <w:p w14:paraId="68B32219" w14:textId="77777777" w:rsidR="00824414" w:rsidRPr="001B5F11" w:rsidRDefault="00824414" w:rsidP="00D80682">
            <w:pPr>
              <w:rPr>
                <w:rFonts w:cs="Arial"/>
                <w:sz w:val="18"/>
                <w:szCs w:val="18"/>
              </w:rPr>
            </w:pPr>
          </w:p>
        </w:tc>
      </w:tr>
      <w:tr w:rsidR="00824414" w:rsidRPr="001B5F11" w14:paraId="5AF16C13" w14:textId="77777777" w:rsidTr="00824414">
        <w:trPr>
          <w:jc w:val="center"/>
        </w:trPr>
        <w:tc>
          <w:tcPr>
            <w:tcW w:w="2355" w:type="dxa"/>
            <w:vMerge/>
          </w:tcPr>
          <w:p w14:paraId="3CA35595" w14:textId="77777777" w:rsidR="00824414" w:rsidRPr="001B5F11" w:rsidRDefault="00824414" w:rsidP="00D80682">
            <w:pPr>
              <w:rPr>
                <w:rFonts w:cs="Arial"/>
                <w:sz w:val="18"/>
                <w:szCs w:val="18"/>
              </w:rPr>
            </w:pPr>
          </w:p>
        </w:tc>
        <w:tc>
          <w:tcPr>
            <w:tcW w:w="5105" w:type="dxa"/>
          </w:tcPr>
          <w:p w14:paraId="611717E2" w14:textId="77777777" w:rsidR="00824414" w:rsidRPr="001B5F11" w:rsidRDefault="00824414" w:rsidP="00D80682">
            <w:pPr>
              <w:spacing w:line="276" w:lineRule="auto"/>
              <w:jc w:val="both"/>
              <w:rPr>
                <w:rFonts w:cs="Arial"/>
                <w:sz w:val="18"/>
                <w:szCs w:val="18"/>
              </w:rPr>
            </w:pPr>
            <w:r w:rsidRPr="001B5F11">
              <w:rPr>
                <w:rFonts w:cs="Arial"/>
                <w:sz w:val="18"/>
                <w:szCs w:val="18"/>
              </w:rPr>
              <w:t xml:space="preserve">2.4 Evidence of effective Role Based Access Control (RBAC) </w:t>
            </w:r>
          </w:p>
        </w:tc>
        <w:tc>
          <w:tcPr>
            <w:tcW w:w="2407" w:type="dxa"/>
          </w:tcPr>
          <w:p w14:paraId="4DFC2260" w14:textId="77777777" w:rsidR="00824414" w:rsidRPr="006D376B" w:rsidRDefault="00824414" w:rsidP="00D80682">
            <w:pPr>
              <w:spacing w:line="276" w:lineRule="auto"/>
              <w:rPr>
                <w:rFonts w:cs="Arial"/>
                <w:sz w:val="18"/>
                <w:szCs w:val="18"/>
              </w:rPr>
            </w:pPr>
            <w:r w:rsidRPr="006D376B">
              <w:rPr>
                <w:rFonts w:cs="Arial"/>
                <w:sz w:val="18"/>
                <w:szCs w:val="18"/>
              </w:rPr>
              <w:t>NB. Th</w:t>
            </w:r>
            <w:r>
              <w:rPr>
                <w:rFonts w:cs="Arial"/>
                <w:sz w:val="18"/>
                <w:szCs w:val="18"/>
              </w:rPr>
              <w:t>is</w:t>
            </w:r>
            <w:r w:rsidRPr="006D376B">
              <w:rPr>
                <w:rFonts w:cs="Arial"/>
                <w:sz w:val="18"/>
                <w:szCs w:val="18"/>
              </w:rPr>
              <w:t xml:space="preserve"> evidence (RBAC) relates to two checkpoints: 2.4, 7.7</w:t>
            </w:r>
          </w:p>
        </w:tc>
        <w:tc>
          <w:tcPr>
            <w:tcW w:w="2268" w:type="dxa"/>
          </w:tcPr>
          <w:p w14:paraId="5CBF9E94" w14:textId="77777777" w:rsidR="00824414" w:rsidRPr="001B5F11" w:rsidRDefault="00824414" w:rsidP="00D80682">
            <w:pPr>
              <w:rPr>
                <w:rFonts w:cs="Arial"/>
                <w:sz w:val="18"/>
                <w:szCs w:val="18"/>
              </w:rPr>
            </w:pPr>
          </w:p>
        </w:tc>
        <w:tc>
          <w:tcPr>
            <w:tcW w:w="3174" w:type="dxa"/>
          </w:tcPr>
          <w:p w14:paraId="3E338E93" w14:textId="77777777" w:rsidR="00824414" w:rsidRPr="001B5F11" w:rsidRDefault="00824414" w:rsidP="00D80682">
            <w:pPr>
              <w:rPr>
                <w:rFonts w:cs="Arial"/>
                <w:sz w:val="18"/>
                <w:szCs w:val="18"/>
              </w:rPr>
            </w:pPr>
          </w:p>
        </w:tc>
      </w:tr>
      <w:tr w:rsidR="00824414" w:rsidRPr="001B5F11" w14:paraId="7825726F" w14:textId="77777777" w:rsidTr="00824414">
        <w:trPr>
          <w:jc w:val="center"/>
        </w:trPr>
        <w:tc>
          <w:tcPr>
            <w:tcW w:w="2355" w:type="dxa"/>
            <w:vMerge/>
            <w:tcBorders>
              <w:bottom w:val="single" w:sz="4" w:space="0" w:color="auto"/>
            </w:tcBorders>
          </w:tcPr>
          <w:p w14:paraId="7ACC0A76" w14:textId="77777777" w:rsidR="00824414" w:rsidRPr="001B5F11" w:rsidRDefault="00824414" w:rsidP="00D80682">
            <w:pPr>
              <w:rPr>
                <w:rFonts w:cs="Arial"/>
                <w:sz w:val="18"/>
                <w:szCs w:val="18"/>
              </w:rPr>
            </w:pPr>
          </w:p>
        </w:tc>
        <w:tc>
          <w:tcPr>
            <w:tcW w:w="5105" w:type="dxa"/>
            <w:tcBorders>
              <w:bottom w:val="single" w:sz="4" w:space="0" w:color="auto"/>
            </w:tcBorders>
          </w:tcPr>
          <w:p w14:paraId="00BA50D9" w14:textId="77777777" w:rsidR="00824414" w:rsidRPr="001B5F11" w:rsidRDefault="00824414" w:rsidP="00D80682">
            <w:pPr>
              <w:spacing w:line="276" w:lineRule="auto"/>
              <w:jc w:val="both"/>
              <w:rPr>
                <w:rFonts w:cs="Arial"/>
                <w:sz w:val="18"/>
                <w:szCs w:val="18"/>
              </w:rPr>
            </w:pPr>
            <w:r w:rsidRPr="001B5F11">
              <w:rPr>
                <w:rFonts w:cs="Arial"/>
                <w:sz w:val="18"/>
                <w:szCs w:val="18"/>
              </w:rPr>
              <w:t xml:space="preserve">2.5 Evidence of completed and approved DPIA for each data sharing purpose </w:t>
            </w:r>
          </w:p>
        </w:tc>
        <w:tc>
          <w:tcPr>
            <w:tcW w:w="2407" w:type="dxa"/>
            <w:tcBorders>
              <w:bottom w:val="single" w:sz="4" w:space="0" w:color="auto"/>
            </w:tcBorders>
          </w:tcPr>
          <w:p w14:paraId="06BC519A" w14:textId="77777777" w:rsidR="00824414" w:rsidRPr="006D376B" w:rsidRDefault="00824414" w:rsidP="00D80682">
            <w:pPr>
              <w:pStyle w:val="PlainText"/>
              <w:rPr>
                <w:rFonts w:ascii="Arial" w:hAnsi="Arial" w:cs="Arial"/>
                <w:sz w:val="18"/>
                <w:szCs w:val="18"/>
              </w:rPr>
            </w:pPr>
            <w:r w:rsidRPr="006D376B">
              <w:rPr>
                <w:rFonts w:ascii="Arial" w:hAnsi="Arial" w:cs="Arial"/>
                <w:sz w:val="18"/>
                <w:szCs w:val="18"/>
              </w:rPr>
              <w:t>NB. This evidence (DPIA) relates to three checkpoints: 2.5, 7.3, 9.1</w:t>
            </w:r>
          </w:p>
        </w:tc>
        <w:tc>
          <w:tcPr>
            <w:tcW w:w="2268" w:type="dxa"/>
            <w:tcBorders>
              <w:bottom w:val="single" w:sz="4" w:space="0" w:color="auto"/>
            </w:tcBorders>
          </w:tcPr>
          <w:p w14:paraId="01934057" w14:textId="77777777" w:rsidR="00824414" w:rsidRPr="001B5F11" w:rsidRDefault="00824414" w:rsidP="00D80682">
            <w:pPr>
              <w:rPr>
                <w:rFonts w:cs="Arial"/>
                <w:sz w:val="18"/>
                <w:szCs w:val="18"/>
              </w:rPr>
            </w:pPr>
          </w:p>
        </w:tc>
        <w:tc>
          <w:tcPr>
            <w:tcW w:w="3174" w:type="dxa"/>
            <w:tcBorders>
              <w:bottom w:val="single" w:sz="4" w:space="0" w:color="auto"/>
            </w:tcBorders>
          </w:tcPr>
          <w:p w14:paraId="0917FBD9" w14:textId="77777777" w:rsidR="00824414" w:rsidRPr="001B5F11" w:rsidRDefault="00824414" w:rsidP="00D80682">
            <w:pPr>
              <w:rPr>
                <w:rFonts w:cs="Arial"/>
                <w:sz w:val="18"/>
                <w:szCs w:val="18"/>
              </w:rPr>
            </w:pPr>
          </w:p>
        </w:tc>
      </w:tr>
      <w:tr w:rsidR="00824414" w:rsidRPr="001B5F11" w14:paraId="62256217" w14:textId="77777777" w:rsidTr="00824414">
        <w:trPr>
          <w:jc w:val="center"/>
        </w:trPr>
        <w:tc>
          <w:tcPr>
            <w:tcW w:w="2355" w:type="dxa"/>
            <w:vMerge w:val="restart"/>
          </w:tcPr>
          <w:p w14:paraId="4FA3FBAB" w14:textId="77777777" w:rsidR="00824414" w:rsidRPr="001B5F11" w:rsidRDefault="00824414" w:rsidP="00B914EE">
            <w:pPr>
              <w:pStyle w:val="ListParagraph"/>
              <w:numPr>
                <w:ilvl w:val="0"/>
                <w:numId w:val="28"/>
              </w:numPr>
              <w:rPr>
                <w:rFonts w:ascii="Arial" w:hAnsi="Arial"/>
                <w:b/>
                <w:sz w:val="18"/>
                <w:szCs w:val="18"/>
              </w:rPr>
            </w:pPr>
            <w:r w:rsidRPr="001B5F11">
              <w:rPr>
                <w:rFonts w:ascii="Arial" w:hAnsi="Arial"/>
                <w:b/>
                <w:sz w:val="18"/>
                <w:szCs w:val="18"/>
              </w:rPr>
              <w:t>Duty of Transparency</w:t>
            </w:r>
          </w:p>
          <w:p w14:paraId="60FAA5F6" w14:textId="77777777" w:rsidR="00824414" w:rsidRPr="001B5F11" w:rsidRDefault="00824414" w:rsidP="00D80682">
            <w:pPr>
              <w:spacing w:line="276" w:lineRule="auto"/>
              <w:rPr>
                <w:rFonts w:cs="Arial"/>
                <w:sz w:val="18"/>
                <w:szCs w:val="18"/>
              </w:rPr>
            </w:pPr>
            <w:r w:rsidRPr="001B5F11">
              <w:rPr>
                <w:rFonts w:cs="Arial"/>
                <w:sz w:val="18"/>
                <w:szCs w:val="18"/>
              </w:rPr>
              <w:t>LHCRs need to demonstrate that they are meeting the duty of Transparency. This is one of the ways that LHCRs can build trust and gain public respect in use of their data. In addition, it supports the GDPR principle of accountability which organisations need to demonstrate compliance.</w:t>
            </w:r>
          </w:p>
          <w:p w14:paraId="0ABDBC37" w14:textId="77777777" w:rsidR="00824414" w:rsidRPr="001B5F11" w:rsidRDefault="00824414" w:rsidP="00D80682">
            <w:pPr>
              <w:rPr>
                <w:rFonts w:cs="Arial"/>
                <w:b/>
                <w:sz w:val="18"/>
                <w:szCs w:val="18"/>
              </w:rPr>
            </w:pPr>
          </w:p>
        </w:tc>
        <w:tc>
          <w:tcPr>
            <w:tcW w:w="5105" w:type="dxa"/>
            <w:shd w:val="clear" w:color="auto" w:fill="FFFFFF" w:themeFill="background1"/>
          </w:tcPr>
          <w:p w14:paraId="2BEA4866" w14:textId="77777777" w:rsidR="00824414" w:rsidRPr="001B5F11" w:rsidRDefault="00824414" w:rsidP="00B914EE">
            <w:pPr>
              <w:pStyle w:val="ListParagraph"/>
              <w:numPr>
                <w:ilvl w:val="1"/>
                <w:numId w:val="36"/>
              </w:numPr>
              <w:tabs>
                <w:tab w:val="clear" w:pos="4890"/>
              </w:tabs>
              <w:spacing w:before="0" w:after="0" w:line="276" w:lineRule="auto"/>
              <w:ind w:left="0"/>
              <w:rPr>
                <w:rFonts w:ascii="Arial" w:hAnsi="Arial"/>
                <w:sz w:val="18"/>
                <w:szCs w:val="18"/>
              </w:rPr>
            </w:pPr>
            <w:r>
              <w:rPr>
                <w:rFonts w:ascii="Arial" w:hAnsi="Arial"/>
                <w:sz w:val="18"/>
                <w:szCs w:val="18"/>
              </w:rPr>
              <w:t xml:space="preserve">3.1 </w:t>
            </w:r>
            <w:r w:rsidRPr="001B5F11">
              <w:rPr>
                <w:rFonts w:ascii="Arial" w:hAnsi="Arial"/>
                <w:sz w:val="18"/>
                <w:szCs w:val="18"/>
              </w:rPr>
              <w:t>Privacy Notice(s) stating what data is collected, stored, shared and retained (for how long). The Privacy Notice must also include information on patient preferences</w:t>
            </w:r>
          </w:p>
        </w:tc>
        <w:tc>
          <w:tcPr>
            <w:tcW w:w="2407" w:type="dxa"/>
            <w:shd w:val="clear" w:color="auto" w:fill="FFFFFF" w:themeFill="background1"/>
          </w:tcPr>
          <w:p w14:paraId="55E8304B" w14:textId="77777777" w:rsidR="00824414" w:rsidRPr="006D376B" w:rsidRDefault="00824414" w:rsidP="00D80682">
            <w:pPr>
              <w:pStyle w:val="PlainText"/>
              <w:rPr>
                <w:rFonts w:ascii="Arial" w:hAnsi="Arial" w:cs="Arial"/>
                <w:sz w:val="18"/>
                <w:szCs w:val="18"/>
              </w:rPr>
            </w:pPr>
            <w:r w:rsidRPr="006D376B">
              <w:rPr>
                <w:rFonts w:ascii="Arial" w:hAnsi="Arial" w:cs="Arial"/>
                <w:sz w:val="18"/>
                <w:szCs w:val="18"/>
              </w:rPr>
              <w:t xml:space="preserve">NB. This evidence (Privacy Notice) relates to two checkpoints: 2.2, 3.1 </w:t>
            </w:r>
          </w:p>
        </w:tc>
        <w:tc>
          <w:tcPr>
            <w:tcW w:w="2268" w:type="dxa"/>
            <w:shd w:val="clear" w:color="auto" w:fill="FFFFFF" w:themeFill="background1"/>
          </w:tcPr>
          <w:p w14:paraId="479192C6" w14:textId="77777777" w:rsidR="00824414" w:rsidRPr="001B5F11" w:rsidRDefault="00824414" w:rsidP="00D80682">
            <w:pPr>
              <w:rPr>
                <w:rFonts w:cs="Arial"/>
                <w:sz w:val="18"/>
                <w:szCs w:val="18"/>
              </w:rPr>
            </w:pPr>
          </w:p>
        </w:tc>
        <w:tc>
          <w:tcPr>
            <w:tcW w:w="3174" w:type="dxa"/>
            <w:shd w:val="clear" w:color="auto" w:fill="FFFFFF" w:themeFill="background1"/>
          </w:tcPr>
          <w:p w14:paraId="36B8947D" w14:textId="77777777" w:rsidR="00824414" w:rsidRPr="001B5F11" w:rsidRDefault="00824414" w:rsidP="00D80682">
            <w:pPr>
              <w:rPr>
                <w:rFonts w:cs="Arial"/>
                <w:sz w:val="18"/>
                <w:szCs w:val="18"/>
              </w:rPr>
            </w:pPr>
          </w:p>
        </w:tc>
      </w:tr>
      <w:tr w:rsidR="00824414" w:rsidRPr="001B5F11" w14:paraId="33CD51B9" w14:textId="77777777" w:rsidTr="00824414">
        <w:trPr>
          <w:jc w:val="center"/>
        </w:trPr>
        <w:tc>
          <w:tcPr>
            <w:tcW w:w="2355" w:type="dxa"/>
            <w:vMerge/>
          </w:tcPr>
          <w:p w14:paraId="4F30EEA9" w14:textId="77777777" w:rsidR="00824414" w:rsidRPr="001B5F11" w:rsidRDefault="00824414" w:rsidP="00D80682">
            <w:pPr>
              <w:rPr>
                <w:rFonts w:cs="Arial"/>
                <w:sz w:val="18"/>
                <w:szCs w:val="18"/>
              </w:rPr>
            </w:pPr>
          </w:p>
        </w:tc>
        <w:tc>
          <w:tcPr>
            <w:tcW w:w="5105" w:type="dxa"/>
          </w:tcPr>
          <w:p w14:paraId="2340AF39" w14:textId="77777777" w:rsidR="00824414" w:rsidRPr="001B5F11" w:rsidRDefault="00824414" w:rsidP="00D80682">
            <w:pPr>
              <w:spacing w:line="276" w:lineRule="auto"/>
              <w:jc w:val="both"/>
              <w:rPr>
                <w:rFonts w:cs="Arial"/>
                <w:sz w:val="18"/>
                <w:szCs w:val="18"/>
              </w:rPr>
            </w:pPr>
            <w:r w:rsidRPr="001B5F11">
              <w:rPr>
                <w:rFonts w:cs="Arial"/>
                <w:sz w:val="18"/>
                <w:szCs w:val="18"/>
              </w:rPr>
              <w:t>3.2 Production of a clear plan, list of communication materials and channels</w:t>
            </w:r>
          </w:p>
        </w:tc>
        <w:tc>
          <w:tcPr>
            <w:tcW w:w="2407" w:type="dxa"/>
          </w:tcPr>
          <w:p w14:paraId="038EF1C8" w14:textId="77777777" w:rsidR="00824414" w:rsidRPr="006D376B" w:rsidRDefault="00824414" w:rsidP="00D80682">
            <w:pPr>
              <w:spacing w:line="276" w:lineRule="auto"/>
              <w:jc w:val="both"/>
              <w:rPr>
                <w:rFonts w:cs="Arial"/>
                <w:sz w:val="18"/>
                <w:szCs w:val="18"/>
              </w:rPr>
            </w:pPr>
            <w:r w:rsidRPr="006D376B">
              <w:rPr>
                <w:rFonts w:cs="Arial"/>
                <w:sz w:val="18"/>
                <w:szCs w:val="18"/>
              </w:rPr>
              <w:t>NB. This evidence relates to two checkpoints: 3.2, 3.5</w:t>
            </w:r>
          </w:p>
        </w:tc>
        <w:tc>
          <w:tcPr>
            <w:tcW w:w="2268" w:type="dxa"/>
          </w:tcPr>
          <w:p w14:paraId="1DDE317E" w14:textId="77777777" w:rsidR="00824414" w:rsidRPr="001B5F11" w:rsidRDefault="00824414" w:rsidP="00D80682">
            <w:pPr>
              <w:rPr>
                <w:rFonts w:cs="Arial"/>
                <w:sz w:val="18"/>
                <w:szCs w:val="18"/>
              </w:rPr>
            </w:pPr>
          </w:p>
        </w:tc>
        <w:tc>
          <w:tcPr>
            <w:tcW w:w="3174" w:type="dxa"/>
          </w:tcPr>
          <w:p w14:paraId="701D6C36" w14:textId="77777777" w:rsidR="00824414" w:rsidRPr="001B5F11" w:rsidRDefault="00824414" w:rsidP="00D80682">
            <w:pPr>
              <w:rPr>
                <w:rFonts w:cs="Arial"/>
                <w:sz w:val="18"/>
                <w:szCs w:val="18"/>
              </w:rPr>
            </w:pPr>
          </w:p>
        </w:tc>
      </w:tr>
      <w:tr w:rsidR="00824414" w:rsidRPr="001B5F11" w14:paraId="45361656" w14:textId="77777777" w:rsidTr="00824414">
        <w:trPr>
          <w:jc w:val="center"/>
        </w:trPr>
        <w:tc>
          <w:tcPr>
            <w:tcW w:w="2355" w:type="dxa"/>
            <w:vMerge/>
          </w:tcPr>
          <w:p w14:paraId="66C4F4A8" w14:textId="77777777" w:rsidR="00824414" w:rsidRPr="001B5F11" w:rsidRDefault="00824414" w:rsidP="00D80682">
            <w:pPr>
              <w:rPr>
                <w:rFonts w:cs="Arial"/>
                <w:sz w:val="18"/>
                <w:szCs w:val="18"/>
              </w:rPr>
            </w:pPr>
          </w:p>
        </w:tc>
        <w:tc>
          <w:tcPr>
            <w:tcW w:w="5105" w:type="dxa"/>
            <w:tcBorders>
              <w:bottom w:val="single" w:sz="4" w:space="0" w:color="auto"/>
            </w:tcBorders>
          </w:tcPr>
          <w:p w14:paraId="2CEAB1B1" w14:textId="77777777" w:rsidR="00824414" w:rsidRPr="001B5F11" w:rsidRDefault="00824414" w:rsidP="00D80682">
            <w:pPr>
              <w:spacing w:line="276" w:lineRule="auto"/>
              <w:jc w:val="both"/>
              <w:rPr>
                <w:rFonts w:cs="Arial"/>
                <w:sz w:val="18"/>
                <w:szCs w:val="18"/>
              </w:rPr>
            </w:pPr>
            <w:r w:rsidRPr="001B5F11">
              <w:rPr>
                <w:rFonts w:cs="Arial"/>
                <w:sz w:val="18"/>
                <w:szCs w:val="18"/>
              </w:rPr>
              <w:t>3.3 Copies of the information provided to the public/ patients</w:t>
            </w:r>
          </w:p>
        </w:tc>
        <w:tc>
          <w:tcPr>
            <w:tcW w:w="2407" w:type="dxa"/>
            <w:tcBorders>
              <w:bottom w:val="single" w:sz="4" w:space="0" w:color="auto"/>
            </w:tcBorders>
          </w:tcPr>
          <w:p w14:paraId="42AF92EA" w14:textId="77777777" w:rsidR="00824414" w:rsidRPr="006D376B" w:rsidRDefault="00824414" w:rsidP="00D80682">
            <w:pPr>
              <w:spacing w:line="276" w:lineRule="auto"/>
              <w:jc w:val="both"/>
              <w:rPr>
                <w:rFonts w:cs="Arial"/>
                <w:sz w:val="18"/>
                <w:szCs w:val="18"/>
              </w:rPr>
            </w:pPr>
            <w:r w:rsidRPr="006D376B">
              <w:rPr>
                <w:rFonts w:cs="Arial"/>
                <w:sz w:val="18"/>
                <w:szCs w:val="18"/>
              </w:rPr>
              <w:t>NB. This evidence relates to two checkpoints: 3.3, 3.4</w:t>
            </w:r>
          </w:p>
        </w:tc>
        <w:tc>
          <w:tcPr>
            <w:tcW w:w="2268" w:type="dxa"/>
            <w:tcBorders>
              <w:bottom w:val="single" w:sz="4" w:space="0" w:color="auto"/>
            </w:tcBorders>
          </w:tcPr>
          <w:p w14:paraId="64A3FD03" w14:textId="77777777" w:rsidR="00824414" w:rsidRPr="001B5F11" w:rsidRDefault="00824414" w:rsidP="00D80682">
            <w:pPr>
              <w:rPr>
                <w:rFonts w:cs="Arial"/>
                <w:sz w:val="18"/>
                <w:szCs w:val="18"/>
              </w:rPr>
            </w:pPr>
          </w:p>
        </w:tc>
        <w:tc>
          <w:tcPr>
            <w:tcW w:w="3174" w:type="dxa"/>
            <w:tcBorders>
              <w:bottom w:val="single" w:sz="4" w:space="0" w:color="auto"/>
            </w:tcBorders>
          </w:tcPr>
          <w:p w14:paraId="022E4C69" w14:textId="77777777" w:rsidR="00824414" w:rsidRPr="001B5F11" w:rsidRDefault="00824414" w:rsidP="00D80682">
            <w:pPr>
              <w:rPr>
                <w:rFonts w:cs="Arial"/>
                <w:sz w:val="18"/>
                <w:szCs w:val="18"/>
              </w:rPr>
            </w:pPr>
          </w:p>
        </w:tc>
      </w:tr>
      <w:tr w:rsidR="00824414" w:rsidRPr="001B5F11" w14:paraId="252CCB13" w14:textId="77777777" w:rsidTr="00824414">
        <w:trPr>
          <w:jc w:val="center"/>
        </w:trPr>
        <w:tc>
          <w:tcPr>
            <w:tcW w:w="2355" w:type="dxa"/>
            <w:vMerge/>
          </w:tcPr>
          <w:p w14:paraId="4703B1F1" w14:textId="77777777" w:rsidR="00824414" w:rsidRPr="001B5F11" w:rsidRDefault="00824414" w:rsidP="00D80682">
            <w:pPr>
              <w:rPr>
                <w:rFonts w:cs="Arial"/>
                <w:sz w:val="18"/>
                <w:szCs w:val="18"/>
              </w:rPr>
            </w:pPr>
          </w:p>
        </w:tc>
        <w:tc>
          <w:tcPr>
            <w:tcW w:w="5105" w:type="dxa"/>
            <w:tcBorders>
              <w:bottom w:val="single" w:sz="4" w:space="0" w:color="auto"/>
            </w:tcBorders>
            <w:shd w:val="clear" w:color="auto" w:fill="FFFFFF" w:themeFill="background1"/>
          </w:tcPr>
          <w:p w14:paraId="73CE4D14" w14:textId="77777777" w:rsidR="00824414" w:rsidRPr="001B5F11" w:rsidRDefault="00824414" w:rsidP="00D80682">
            <w:pPr>
              <w:spacing w:line="276" w:lineRule="auto"/>
              <w:jc w:val="both"/>
              <w:rPr>
                <w:rFonts w:cs="Arial"/>
                <w:sz w:val="18"/>
                <w:szCs w:val="18"/>
              </w:rPr>
            </w:pPr>
            <w:r w:rsidRPr="001B5F11">
              <w:rPr>
                <w:rFonts w:cs="Arial"/>
                <w:sz w:val="18"/>
                <w:szCs w:val="18"/>
              </w:rPr>
              <w:t>3.4 Evidence of publication of transparency materials by all organisations in the LHCR</w:t>
            </w:r>
          </w:p>
        </w:tc>
        <w:tc>
          <w:tcPr>
            <w:tcW w:w="2407" w:type="dxa"/>
            <w:tcBorders>
              <w:bottom w:val="single" w:sz="4" w:space="0" w:color="auto"/>
            </w:tcBorders>
            <w:shd w:val="clear" w:color="auto" w:fill="FFFFFF" w:themeFill="background1"/>
          </w:tcPr>
          <w:p w14:paraId="4C6FF2FF" w14:textId="77777777" w:rsidR="00824414" w:rsidRPr="006D376B" w:rsidRDefault="00824414" w:rsidP="00D80682">
            <w:pPr>
              <w:rPr>
                <w:rFonts w:cs="Arial"/>
                <w:sz w:val="18"/>
                <w:szCs w:val="18"/>
              </w:rPr>
            </w:pPr>
            <w:r w:rsidRPr="006D376B">
              <w:rPr>
                <w:rFonts w:cs="Arial"/>
                <w:sz w:val="18"/>
                <w:szCs w:val="18"/>
              </w:rPr>
              <w:t>NB. This evidence relates to two checkpoints: 3.3, 3.4</w:t>
            </w:r>
          </w:p>
        </w:tc>
        <w:tc>
          <w:tcPr>
            <w:tcW w:w="2268" w:type="dxa"/>
            <w:tcBorders>
              <w:bottom w:val="single" w:sz="4" w:space="0" w:color="auto"/>
            </w:tcBorders>
            <w:shd w:val="clear" w:color="auto" w:fill="FFFFFF" w:themeFill="background1"/>
          </w:tcPr>
          <w:p w14:paraId="7DCA0EDA" w14:textId="77777777" w:rsidR="00824414" w:rsidRPr="001B5F11" w:rsidRDefault="00824414" w:rsidP="00D80682">
            <w:pPr>
              <w:rPr>
                <w:rFonts w:cs="Arial"/>
                <w:sz w:val="18"/>
                <w:szCs w:val="18"/>
              </w:rPr>
            </w:pPr>
          </w:p>
        </w:tc>
        <w:tc>
          <w:tcPr>
            <w:tcW w:w="3174" w:type="dxa"/>
            <w:tcBorders>
              <w:bottom w:val="single" w:sz="4" w:space="0" w:color="auto"/>
            </w:tcBorders>
            <w:shd w:val="clear" w:color="auto" w:fill="FFFFFF" w:themeFill="background1"/>
          </w:tcPr>
          <w:p w14:paraId="4BA8C8D1" w14:textId="77777777" w:rsidR="00824414" w:rsidRPr="001B5F11" w:rsidRDefault="00824414" w:rsidP="00D80682">
            <w:pPr>
              <w:rPr>
                <w:rFonts w:cs="Arial"/>
                <w:sz w:val="18"/>
                <w:szCs w:val="18"/>
              </w:rPr>
            </w:pPr>
          </w:p>
        </w:tc>
      </w:tr>
      <w:tr w:rsidR="00824414" w:rsidRPr="001B5F11" w14:paraId="28AFE479" w14:textId="77777777" w:rsidTr="00824414">
        <w:trPr>
          <w:jc w:val="center"/>
        </w:trPr>
        <w:tc>
          <w:tcPr>
            <w:tcW w:w="2355" w:type="dxa"/>
            <w:vMerge/>
          </w:tcPr>
          <w:p w14:paraId="427766E0" w14:textId="77777777" w:rsidR="00824414" w:rsidRPr="001B5F11" w:rsidRDefault="00824414" w:rsidP="00D80682">
            <w:pPr>
              <w:rPr>
                <w:rFonts w:cs="Arial"/>
                <w:sz w:val="18"/>
                <w:szCs w:val="18"/>
              </w:rPr>
            </w:pPr>
          </w:p>
        </w:tc>
        <w:tc>
          <w:tcPr>
            <w:tcW w:w="5105" w:type="dxa"/>
            <w:shd w:val="clear" w:color="auto" w:fill="FFFFFF" w:themeFill="background1"/>
          </w:tcPr>
          <w:p w14:paraId="79B28A72" w14:textId="77777777" w:rsidR="00824414" w:rsidRPr="001B5F11" w:rsidRDefault="00824414" w:rsidP="00D80682">
            <w:pPr>
              <w:spacing w:line="276" w:lineRule="auto"/>
              <w:rPr>
                <w:rFonts w:cs="Arial"/>
                <w:sz w:val="18"/>
                <w:szCs w:val="18"/>
              </w:rPr>
            </w:pPr>
            <w:r w:rsidRPr="001B5F11">
              <w:rPr>
                <w:rFonts w:cs="Arial"/>
                <w:sz w:val="18"/>
                <w:szCs w:val="18"/>
              </w:rPr>
              <w:t>3.5 Details of the process of monitoring and updating communications</w:t>
            </w:r>
          </w:p>
        </w:tc>
        <w:tc>
          <w:tcPr>
            <w:tcW w:w="2407" w:type="dxa"/>
            <w:shd w:val="clear" w:color="auto" w:fill="FFFFFF" w:themeFill="background1"/>
          </w:tcPr>
          <w:p w14:paraId="517626E8" w14:textId="77777777" w:rsidR="00824414" w:rsidRPr="006D376B" w:rsidRDefault="00824414" w:rsidP="00D80682">
            <w:pPr>
              <w:rPr>
                <w:rFonts w:cs="Arial"/>
                <w:sz w:val="18"/>
                <w:szCs w:val="18"/>
              </w:rPr>
            </w:pPr>
            <w:r w:rsidRPr="006D376B">
              <w:rPr>
                <w:rFonts w:cs="Arial"/>
                <w:sz w:val="18"/>
                <w:szCs w:val="18"/>
              </w:rPr>
              <w:t>NB. This evidence relates to two checkpoints: 3.2, 3.5</w:t>
            </w:r>
          </w:p>
        </w:tc>
        <w:tc>
          <w:tcPr>
            <w:tcW w:w="2268" w:type="dxa"/>
            <w:shd w:val="clear" w:color="auto" w:fill="FFFFFF" w:themeFill="background1"/>
          </w:tcPr>
          <w:p w14:paraId="3CBF76E9" w14:textId="77777777" w:rsidR="00824414" w:rsidRPr="001B5F11" w:rsidRDefault="00824414" w:rsidP="00D80682">
            <w:pPr>
              <w:rPr>
                <w:rFonts w:cs="Arial"/>
                <w:sz w:val="18"/>
                <w:szCs w:val="18"/>
              </w:rPr>
            </w:pPr>
          </w:p>
        </w:tc>
        <w:tc>
          <w:tcPr>
            <w:tcW w:w="3174" w:type="dxa"/>
            <w:shd w:val="clear" w:color="auto" w:fill="FFFFFF" w:themeFill="background1"/>
          </w:tcPr>
          <w:p w14:paraId="1841A050" w14:textId="77777777" w:rsidR="00824414" w:rsidRPr="001B5F11" w:rsidRDefault="00824414" w:rsidP="00D80682">
            <w:pPr>
              <w:rPr>
                <w:rFonts w:cs="Arial"/>
                <w:sz w:val="18"/>
                <w:szCs w:val="18"/>
              </w:rPr>
            </w:pPr>
          </w:p>
        </w:tc>
      </w:tr>
      <w:tr w:rsidR="00824414" w:rsidRPr="001B5F11" w14:paraId="2342E8E7" w14:textId="77777777" w:rsidTr="00824414">
        <w:trPr>
          <w:jc w:val="center"/>
        </w:trPr>
        <w:tc>
          <w:tcPr>
            <w:tcW w:w="2355" w:type="dxa"/>
            <w:vMerge/>
          </w:tcPr>
          <w:p w14:paraId="7EDCAD67" w14:textId="77777777" w:rsidR="00824414" w:rsidRPr="001B5F11" w:rsidRDefault="00824414" w:rsidP="00D80682">
            <w:pPr>
              <w:rPr>
                <w:rFonts w:cs="Arial"/>
                <w:sz w:val="18"/>
                <w:szCs w:val="18"/>
              </w:rPr>
            </w:pPr>
          </w:p>
        </w:tc>
        <w:tc>
          <w:tcPr>
            <w:tcW w:w="5105" w:type="dxa"/>
          </w:tcPr>
          <w:p w14:paraId="72F53224" w14:textId="77777777" w:rsidR="00824414" w:rsidRPr="001B5F11" w:rsidRDefault="00824414" w:rsidP="00D80682">
            <w:pPr>
              <w:spacing w:line="276" w:lineRule="auto"/>
              <w:rPr>
                <w:rFonts w:cs="Arial"/>
                <w:sz w:val="18"/>
                <w:szCs w:val="18"/>
              </w:rPr>
            </w:pPr>
            <w:r w:rsidRPr="001B5F11">
              <w:rPr>
                <w:rFonts w:cs="Arial"/>
                <w:sz w:val="18"/>
                <w:szCs w:val="18"/>
              </w:rPr>
              <w:t>3.6 Evidence of publication of information to the public such as Records of Processing, sharing agreements</w:t>
            </w:r>
          </w:p>
        </w:tc>
        <w:tc>
          <w:tcPr>
            <w:tcW w:w="2407" w:type="dxa"/>
            <w:shd w:val="clear" w:color="auto" w:fill="FFFFFF" w:themeFill="background1"/>
          </w:tcPr>
          <w:p w14:paraId="4391744E" w14:textId="77777777" w:rsidR="00824414" w:rsidRPr="001B5F11" w:rsidRDefault="00824414" w:rsidP="00D80682">
            <w:pPr>
              <w:rPr>
                <w:rFonts w:cs="Arial"/>
                <w:sz w:val="18"/>
                <w:szCs w:val="18"/>
              </w:rPr>
            </w:pPr>
            <w:r>
              <w:rPr>
                <w:rFonts w:cs="Arial"/>
                <w:sz w:val="18"/>
                <w:szCs w:val="18"/>
              </w:rPr>
              <w:t>N/A</w:t>
            </w:r>
          </w:p>
        </w:tc>
        <w:tc>
          <w:tcPr>
            <w:tcW w:w="2268" w:type="dxa"/>
            <w:shd w:val="clear" w:color="auto" w:fill="FFFFFF" w:themeFill="background1"/>
          </w:tcPr>
          <w:p w14:paraId="3E27BD76" w14:textId="77777777" w:rsidR="00824414" w:rsidRPr="001B5F11" w:rsidRDefault="00824414" w:rsidP="00D80682">
            <w:pPr>
              <w:rPr>
                <w:rFonts w:cs="Arial"/>
                <w:sz w:val="18"/>
                <w:szCs w:val="18"/>
              </w:rPr>
            </w:pPr>
          </w:p>
        </w:tc>
        <w:tc>
          <w:tcPr>
            <w:tcW w:w="3174" w:type="dxa"/>
            <w:shd w:val="clear" w:color="auto" w:fill="FFFFFF" w:themeFill="background1"/>
          </w:tcPr>
          <w:p w14:paraId="159C2BA4" w14:textId="77777777" w:rsidR="00824414" w:rsidRPr="001B5F11" w:rsidRDefault="00824414" w:rsidP="00D80682">
            <w:pPr>
              <w:rPr>
                <w:rFonts w:cs="Arial"/>
                <w:sz w:val="18"/>
                <w:szCs w:val="18"/>
              </w:rPr>
            </w:pPr>
          </w:p>
        </w:tc>
      </w:tr>
      <w:tr w:rsidR="00824414" w:rsidRPr="001B5F11" w14:paraId="6AA1657B" w14:textId="77777777" w:rsidTr="00824414">
        <w:trPr>
          <w:jc w:val="center"/>
        </w:trPr>
        <w:tc>
          <w:tcPr>
            <w:tcW w:w="2355" w:type="dxa"/>
            <w:vMerge/>
          </w:tcPr>
          <w:p w14:paraId="58EDB3D8" w14:textId="77777777" w:rsidR="00824414" w:rsidRPr="001B5F11" w:rsidRDefault="00824414" w:rsidP="00D80682">
            <w:pPr>
              <w:rPr>
                <w:rFonts w:cs="Arial"/>
                <w:sz w:val="18"/>
                <w:szCs w:val="18"/>
              </w:rPr>
            </w:pPr>
          </w:p>
        </w:tc>
        <w:tc>
          <w:tcPr>
            <w:tcW w:w="5105" w:type="dxa"/>
          </w:tcPr>
          <w:p w14:paraId="32193BB6" w14:textId="77777777" w:rsidR="00824414" w:rsidRPr="001B5F11" w:rsidRDefault="00824414" w:rsidP="00D80682">
            <w:pPr>
              <w:spacing w:line="276" w:lineRule="auto"/>
              <w:rPr>
                <w:rFonts w:cs="Arial"/>
                <w:sz w:val="18"/>
                <w:szCs w:val="18"/>
              </w:rPr>
            </w:pPr>
            <w:r w:rsidRPr="001B5F11">
              <w:rPr>
                <w:rFonts w:cs="Arial"/>
                <w:sz w:val="18"/>
                <w:szCs w:val="18"/>
              </w:rPr>
              <w:t>3.7 Adoption of online access capability and ability to demonstrate update (if available)</w:t>
            </w:r>
          </w:p>
        </w:tc>
        <w:tc>
          <w:tcPr>
            <w:tcW w:w="2407" w:type="dxa"/>
          </w:tcPr>
          <w:p w14:paraId="0D149195" w14:textId="77777777" w:rsidR="00824414" w:rsidRPr="001B5F11" w:rsidRDefault="00824414" w:rsidP="00D80682">
            <w:pPr>
              <w:rPr>
                <w:rFonts w:cs="Arial"/>
                <w:sz w:val="18"/>
                <w:szCs w:val="18"/>
              </w:rPr>
            </w:pPr>
            <w:r>
              <w:rPr>
                <w:rFonts w:cs="Arial"/>
                <w:sz w:val="18"/>
                <w:szCs w:val="18"/>
              </w:rPr>
              <w:t>N/A</w:t>
            </w:r>
          </w:p>
        </w:tc>
        <w:tc>
          <w:tcPr>
            <w:tcW w:w="2268" w:type="dxa"/>
          </w:tcPr>
          <w:p w14:paraId="6921BA26" w14:textId="77777777" w:rsidR="00824414" w:rsidRPr="001B5F11" w:rsidRDefault="00824414" w:rsidP="00D80682">
            <w:pPr>
              <w:rPr>
                <w:rFonts w:cs="Arial"/>
                <w:sz w:val="18"/>
                <w:szCs w:val="18"/>
              </w:rPr>
            </w:pPr>
          </w:p>
        </w:tc>
        <w:tc>
          <w:tcPr>
            <w:tcW w:w="3174" w:type="dxa"/>
          </w:tcPr>
          <w:p w14:paraId="4DEF2669" w14:textId="77777777" w:rsidR="00824414" w:rsidRPr="001B5F11" w:rsidRDefault="00824414" w:rsidP="00D80682">
            <w:pPr>
              <w:rPr>
                <w:rFonts w:cs="Arial"/>
                <w:sz w:val="18"/>
                <w:szCs w:val="18"/>
              </w:rPr>
            </w:pPr>
          </w:p>
        </w:tc>
      </w:tr>
      <w:tr w:rsidR="00824414" w:rsidRPr="001B5F11" w14:paraId="16606ED1" w14:textId="77777777" w:rsidTr="00824414">
        <w:trPr>
          <w:jc w:val="center"/>
        </w:trPr>
        <w:tc>
          <w:tcPr>
            <w:tcW w:w="2355" w:type="dxa"/>
            <w:vMerge/>
            <w:tcBorders>
              <w:bottom w:val="single" w:sz="4" w:space="0" w:color="auto"/>
            </w:tcBorders>
          </w:tcPr>
          <w:p w14:paraId="4CBF09A2" w14:textId="77777777" w:rsidR="00824414" w:rsidRPr="001B5F11" w:rsidRDefault="00824414" w:rsidP="00D80682">
            <w:pPr>
              <w:rPr>
                <w:rFonts w:cs="Arial"/>
                <w:sz w:val="18"/>
                <w:szCs w:val="18"/>
              </w:rPr>
            </w:pPr>
          </w:p>
        </w:tc>
        <w:tc>
          <w:tcPr>
            <w:tcW w:w="5105" w:type="dxa"/>
            <w:tcBorders>
              <w:bottom w:val="single" w:sz="4" w:space="0" w:color="auto"/>
            </w:tcBorders>
          </w:tcPr>
          <w:p w14:paraId="57E15F8C" w14:textId="77777777" w:rsidR="00824414" w:rsidRPr="001B5F11" w:rsidRDefault="00824414" w:rsidP="00D80682">
            <w:pPr>
              <w:spacing w:line="276" w:lineRule="auto"/>
              <w:rPr>
                <w:rFonts w:cs="Arial"/>
                <w:sz w:val="18"/>
                <w:szCs w:val="18"/>
              </w:rPr>
            </w:pPr>
            <w:r w:rsidRPr="001B5F11">
              <w:rPr>
                <w:rFonts w:cs="Arial"/>
                <w:color w:val="0D0D0D" w:themeColor="text1" w:themeTint="F2"/>
                <w:sz w:val="18"/>
                <w:szCs w:val="18"/>
              </w:rPr>
              <w:t>3.8 Evidence of public engagement to gain their view of the approach and test materials</w:t>
            </w:r>
          </w:p>
        </w:tc>
        <w:tc>
          <w:tcPr>
            <w:tcW w:w="2407" w:type="dxa"/>
            <w:tcBorders>
              <w:bottom w:val="single" w:sz="4" w:space="0" w:color="auto"/>
            </w:tcBorders>
          </w:tcPr>
          <w:p w14:paraId="7C1B5393" w14:textId="77777777" w:rsidR="00824414" w:rsidRPr="001B5F11" w:rsidRDefault="00824414" w:rsidP="00D80682">
            <w:pPr>
              <w:rPr>
                <w:rFonts w:cs="Arial"/>
                <w:sz w:val="18"/>
                <w:szCs w:val="18"/>
              </w:rPr>
            </w:pPr>
            <w:r>
              <w:rPr>
                <w:rFonts w:cs="Arial"/>
                <w:sz w:val="18"/>
                <w:szCs w:val="18"/>
              </w:rPr>
              <w:t>N/A</w:t>
            </w:r>
          </w:p>
        </w:tc>
        <w:tc>
          <w:tcPr>
            <w:tcW w:w="2268" w:type="dxa"/>
            <w:tcBorders>
              <w:bottom w:val="single" w:sz="4" w:space="0" w:color="auto"/>
            </w:tcBorders>
          </w:tcPr>
          <w:p w14:paraId="3F6226D0" w14:textId="77777777" w:rsidR="00824414" w:rsidRPr="001B5F11" w:rsidRDefault="00824414" w:rsidP="00D80682">
            <w:pPr>
              <w:rPr>
                <w:rFonts w:cs="Arial"/>
                <w:sz w:val="18"/>
                <w:szCs w:val="18"/>
              </w:rPr>
            </w:pPr>
          </w:p>
        </w:tc>
        <w:tc>
          <w:tcPr>
            <w:tcW w:w="3174" w:type="dxa"/>
            <w:tcBorders>
              <w:bottom w:val="single" w:sz="4" w:space="0" w:color="auto"/>
            </w:tcBorders>
          </w:tcPr>
          <w:p w14:paraId="3377CF82" w14:textId="77777777" w:rsidR="00824414" w:rsidRPr="001B5F11" w:rsidRDefault="00824414" w:rsidP="00D80682">
            <w:pPr>
              <w:rPr>
                <w:rFonts w:cs="Arial"/>
                <w:sz w:val="18"/>
                <w:szCs w:val="18"/>
              </w:rPr>
            </w:pPr>
          </w:p>
        </w:tc>
      </w:tr>
      <w:tr w:rsidR="00824414" w:rsidRPr="001B5F11" w14:paraId="00522DDC" w14:textId="77777777" w:rsidTr="00824414">
        <w:trPr>
          <w:jc w:val="center"/>
        </w:trPr>
        <w:tc>
          <w:tcPr>
            <w:tcW w:w="2355" w:type="dxa"/>
            <w:vMerge w:val="restart"/>
          </w:tcPr>
          <w:p w14:paraId="0C88116F" w14:textId="77777777" w:rsidR="00824414" w:rsidRPr="001B5F11" w:rsidRDefault="00824414" w:rsidP="00B914EE">
            <w:pPr>
              <w:pStyle w:val="ListParagraph"/>
              <w:numPr>
                <w:ilvl w:val="0"/>
                <w:numId w:val="30"/>
              </w:numPr>
              <w:jc w:val="left"/>
              <w:rPr>
                <w:rFonts w:ascii="Arial" w:hAnsi="Arial"/>
                <w:b/>
                <w:sz w:val="18"/>
                <w:szCs w:val="18"/>
              </w:rPr>
            </w:pPr>
            <w:r w:rsidRPr="001B5F11">
              <w:rPr>
                <w:rFonts w:ascii="Arial" w:hAnsi="Arial"/>
                <w:b/>
                <w:sz w:val="18"/>
                <w:szCs w:val="18"/>
              </w:rPr>
              <w:t>Data Flows and Controllership</w:t>
            </w:r>
          </w:p>
        </w:tc>
        <w:tc>
          <w:tcPr>
            <w:tcW w:w="5105" w:type="dxa"/>
          </w:tcPr>
          <w:p w14:paraId="5B118A11" w14:textId="77777777" w:rsidR="00824414" w:rsidRPr="001B5F11" w:rsidRDefault="00824414" w:rsidP="00B914EE">
            <w:pPr>
              <w:pStyle w:val="ListParagraph"/>
              <w:numPr>
                <w:ilvl w:val="1"/>
                <w:numId w:val="30"/>
              </w:numPr>
              <w:tabs>
                <w:tab w:val="clear" w:pos="4890"/>
              </w:tabs>
              <w:spacing w:before="0" w:after="0" w:line="276" w:lineRule="auto"/>
              <w:ind w:left="0"/>
              <w:jc w:val="left"/>
              <w:rPr>
                <w:rFonts w:ascii="Arial" w:hAnsi="Arial"/>
                <w:sz w:val="18"/>
                <w:szCs w:val="18"/>
              </w:rPr>
            </w:pPr>
            <w:r>
              <w:rPr>
                <w:rFonts w:ascii="Arial" w:hAnsi="Arial"/>
                <w:sz w:val="18"/>
                <w:szCs w:val="18"/>
              </w:rPr>
              <w:t xml:space="preserve">4.1 </w:t>
            </w:r>
            <w:r w:rsidRPr="001B5F11">
              <w:rPr>
                <w:rFonts w:ascii="Arial" w:hAnsi="Arial"/>
                <w:sz w:val="18"/>
                <w:szCs w:val="18"/>
              </w:rPr>
              <w:t>Evidence of Data Sharing Agreements/ Protocols for the grouping</w:t>
            </w:r>
          </w:p>
        </w:tc>
        <w:tc>
          <w:tcPr>
            <w:tcW w:w="2407" w:type="dxa"/>
          </w:tcPr>
          <w:p w14:paraId="4AEA9799" w14:textId="77777777" w:rsidR="00824414" w:rsidRPr="006D376B" w:rsidRDefault="00824414" w:rsidP="00D80682">
            <w:pPr>
              <w:pStyle w:val="PlainText"/>
              <w:rPr>
                <w:rFonts w:ascii="Arial" w:hAnsi="Arial" w:cs="Arial"/>
                <w:sz w:val="18"/>
                <w:szCs w:val="18"/>
              </w:rPr>
            </w:pPr>
            <w:r w:rsidRPr="006D376B">
              <w:rPr>
                <w:rFonts w:ascii="Arial" w:hAnsi="Arial" w:cs="Arial"/>
                <w:sz w:val="18"/>
                <w:szCs w:val="18"/>
              </w:rPr>
              <w:t>NB. The evidence (DSA) relates to two checkpoints: 4.1, 7.4</w:t>
            </w:r>
          </w:p>
        </w:tc>
        <w:tc>
          <w:tcPr>
            <w:tcW w:w="2268" w:type="dxa"/>
          </w:tcPr>
          <w:p w14:paraId="24C6B83A" w14:textId="77777777" w:rsidR="00824414" w:rsidRPr="001B5F11" w:rsidRDefault="00824414" w:rsidP="00D80682">
            <w:pPr>
              <w:rPr>
                <w:rFonts w:cs="Arial"/>
                <w:sz w:val="18"/>
                <w:szCs w:val="18"/>
              </w:rPr>
            </w:pPr>
          </w:p>
        </w:tc>
        <w:tc>
          <w:tcPr>
            <w:tcW w:w="3174" w:type="dxa"/>
          </w:tcPr>
          <w:p w14:paraId="76965545" w14:textId="77777777" w:rsidR="00824414" w:rsidRPr="001B5F11" w:rsidRDefault="00824414" w:rsidP="00D80682">
            <w:pPr>
              <w:rPr>
                <w:rFonts w:cs="Arial"/>
                <w:sz w:val="18"/>
                <w:szCs w:val="18"/>
              </w:rPr>
            </w:pPr>
          </w:p>
        </w:tc>
      </w:tr>
      <w:tr w:rsidR="00824414" w:rsidRPr="001B5F11" w14:paraId="5E636872" w14:textId="77777777" w:rsidTr="00824414">
        <w:trPr>
          <w:jc w:val="center"/>
        </w:trPr>
        <w:tc>
          <w:tcPr>
            <w:tcW w:w="2355" w:type="dxa"/>
            <w:vMerge/>
          </w:tcPr>
          <w:p w14:paraId="6BB5F2B6" w14:textId="77777777" w:rsidR="00824414" w:rsidRPr="001B5F11" w:rsidRDefault="00824414" w:rsidP="00D80682">
            <w:pPr>
              <w:rPr>
                <w:rFonts w:cs="Arial"/>
                <w:sz w:val="18"/>
                <w:szCs w:val="18"/>
              </w:rPr>
            </w:pPr>
          </w:p>
        </w:tc>
        <w:tc>
          <w:tcPr>
            <w:tcW w:w="5105" w:type="dxa"/>
          </w:tcPr>
          <w:p w14:paraId="3E2D2D40" w14:textId="77777777" w:rsidR="00824414" w:rsidRPr="001B5F11" w:rsidRDefault="00824414" w:rsidP="00B914EE">
            <w:pPr>
              <w:pStyle w:val="ListParagraph"/>
              <w:numPr>
                <w:ilvl w:val="1"/>
                <w:numId w:val="30"/>
              </w:numPr>
              <w:tabs>
                <w:tab w:val="clear" w:pos="4890"/>
              </w:tabs>
              <w:spacing w:before="0" w:after="0" w:line="276" w:lineRule="auto"/>
              <w:ind w:left="0"/>
              <w:jc w:val="left"/>
              <w:rPr>
                <w:rFonts w:ascii="Arial" w:hAnsi="Arial"/>
                <w:sz w:val="18"/>
                <w:szCs w:val="18"/>
              </w:rPr>
            </w:pPr>
            <w:r>
              <w:rPr>
                <w:rFonts w:ascii="Arial" w:hAnsi="Arial"/>
                <w:sz w:val="18"/>
                <w:szCs w:val="18"/>
              </w:rPr>
              <w:t xml:space="preserve">4.2 </w:t>
            </w:r>
            <w:r w:rsidRPr="001B5F11">
              <w:rPr>
                <w:rFonts w:ascii="Arial" w:hAnsi="Arial"/>
                <w:sz w:val="18"/>
                <w:szCs w:val="18"/>
              </w:rPr>
              <w:t>A written contract between the grouping and the processor/s</w:t>
            </w:r>
          </w:p>
        </w:tc>
        <w:tc>
          <w:tcPr>
            <w:tcW w:w="2407" w:type="dxa"/>
          </w:tcPr>
          <w:p w14:paraId="662DBF26" w14:textId="77777777" w:rsidR="00824414" w:rsidRPr="001B5F11" w:rsidRDefault="00824414" w:rsidP="00D80682">
            <w:pPr>
              <w:spacing w:line="276" w:lineRule="auto"/>
              <w:rPr>
                <w:rFonts w:cs="Arial"/>
                <w:sz w:val="18"/>
                <w:szCs w:val="18"/>
              </w:rPr>
            </w:pPr>
            <w:r>
              <w:rPr>
                <w:rFonts w:cs="Arial"/>
                <w:sz w:val="18"/>
                <w:szCs w:val="18"/>
              </w:rPr>
              <w:t>N/A</w:t>
            </w:r>
          </w:p>
        </w:tc>
        <w:tc>
          <w:tcPr>
            <w:tcW w:w="2268" w:type="dxa"/>
          </w:tcPr>
          <w:p w14:paraId="040AF8EA" w14:textId="77777777" w:rsidR="00824414" w:rsidRPr="001B5F11" w:rsidRDefault="00824414" w:rsidP="00D80682">
            <w:pPr>
              <w:rPr>
                <w:rFonts w:cs="Arial"/>
                <w:sz w:val="18"/>
                <w:szCs w:val="18"/>
              </w:rPr>
            </w:pPr>
          </w:p>
        </w:tc>
        <w:tc>
          <w:tcPr>
            <w:tcW w:w="3174" w:type="dxa"/>
          </w:tcPr>
          <w:p w14:paraId="33FBCFE6" w14:textId="77777777" w:rsidR="00824414" w:rsidRPr="001B5F11" w:rsidRDefault="00824414" w:rsidP="00D80682">
            <w:pPr>
              <w:rPr>
                <w:rFonts w:cs="Arial"/>
                <w:sz w:val="18"/>
                <w:szCs w:val="18"/>
              </w:rPr>
            </w:pPr>
          </w:p>
        </w:tc>
      </w:tr>
      <w:tr w:rsidR="00824414" w:rsidRPr="001B5F11" w14:paraId="1CA35643" w14:textId="77777777" w:rsidTr="00824414">
        <w:trPr>
          <w:jc w:val="center"/>
        </w:trPr>
        <w:tc>
          <w:tcPr>
            <w:tcW w:w="2355" w:type="dxa"/>
            <w:vMerge/>
          </w:tcPr>
          <w:p w14:paraId="26AAB89B" w14:textId="77777777" w:rsidR="00824414" w:rsidRPr="001B5F11" w:rsidRDefault="00824414" w:rsidP="00D80682">
            <w:pPr>
              <w:rPr>
                <w:rFonts w:cs="Arial"/>
                <w:sz w:val="18"/>
                <w:szCs w:val="18"/>
              </w:rPr>
            </w:pPr>
          </w:p>
        </w:tc>
        <w:tc>
          <w:tcPr>
            <w:tcW w:w="5105" w:type="dxa"/>
          </w:tcPr>
          <w:p w14:paraId="7E78C7F4" w14:textId="77777777" w:rsidR="00824414" w:rsidRPr="001B5F11" w:rsidRDefault="00824414" w:rsidP="00D80682">
            <w:pPr>
              <w:spacing w:line="276" w:lineRule="auto"/>
              <w:rPr>
                <w:rFonts w:cs="Arial"/>
                <w:b/>
                <w:sz w:val="18"/>
                <w:szCs w:val="18"/>
              </w:rPr>
            </w:pPr>
            <w:r w:rsidRPr="001B5F11">
              <w:rPr>
                <w:rFonts w:cs="Arial"/>
                <w:sz w:val="18"/>
                <w:szCs w:val="18"/>
              </w:rPr>
              <w:t>4.3 A clear data processing map showing purpose and Data Controller/ Data Processor at each stage of the data flow.</w:t>
            </w:r>
          </w:p>
        </w:tc>
        <w:tc>
          <w:tcPr>
            <w:tcW w:w="2407" w:type="dxa"/>
          </w:tcPr>
          <w:p w14:paraId="7A9BDDF0" w14:textId="77777777" w:rsidR="00824414" w:rsidRPr="001B5F11" w:rsidRDefault="00824414" w:rsidP="00D80682">
            <w:pPr>
              <w:rPr>
                <w:rFonts w:cs="Arial"/>
                <w:sz w:val="18"/>
                <w:szCs w:val="18"/>
              </w:rPr>
            </w:pPr>
            <w:r>
              <w:rPr>
                <w:rFonts w:cs="Arial"/>
                <w:sz w:val="18"/>
                <w:szCs w:val="18"/>
              </w:rPr>
              <w:t>N/A</w:t>
            </w:r>
          </w:p>
        </w:tc>
        <w:tc>
          <w:tcPr>
            <w:tcW w:w="2268" w:type="dxa"/>
          </w:tcPr>
          <w:p w14:paraId="489E3B98" w14:textId="77777777" w:rsidR="00824414" w:rsidRPr="001B5F11" w:rsidRDefault="00824414" w:rsidP="00D80682">
            <w:pPr>
              <w:rPr>
                <w:rFonts w:cs="Arial"/>
                <w:sz w:val="18"/>
                <w:szCs w:val="18"/>
              </w:rPr>
            </w:pPr>
          </w:p>
        </w:tc>
        <w:tc>
          <w:tcPr>
            <w:tcW w:w="3174" w:type="dxa"/>
          </w:tcPr>
          <w:p w14:paraId="79611659" w14:textId="77777777" w:rsidR="00824414" w:rsidRPr="001B5F11" w:rsidRDefault="00824414" w:rsidP="00D80682">
            <w:pPr>
              <w:rPr>
                <w:rFonts w:cs="Arial"/>
                <w:sz w:val="18"/>
                <w:szCs w:val="18"/>
              </w:rPr>
            </w:pPr>
          </w:p>
        </w:tc>
      </w:tr>
      <w:tr w:rsidR="00824414" w:rsidRPr="001B5F11" w14:paraId="634C62FD" w14:textId="77777777" w:rsidTr="00824414">
        <w:trPr>
          <w:jc w:val="center"/>
        </w:trPr>
        <w:tc>
          <w:tcPr>
            <w:tcW w:w="2355" w:type="dxa"/>
            <w:vMerge/>
          </w:tcPr>
          <w:p w14:paraId="4130FA9E" w14:textId="77777777" w:rsidR="00824414" w:rsidRPr="001B5F11" w:rsidRDefault="00824414" w:rsidP="00D80682">
            <w:pPr>
              <w:rPr>
                <w:rFonts w:cs="Arial"/>
                <w:sz w:val="18"/>
                <w:szCs w:val="18"/>
              </w:rPr>
            </w:pPr>
          </w:p>
        </w:tc>
        <w:tc>
          <w:tcPr>
            <w:tcW w:w="5105" w:type="dxa"/>
          </w:tcPr>
          <w:p w14:paraId="0F0B54AC" w14:textId="77777777" w:rsidR="00824414" w:rsidRPr="001B5F11" w:rsidRDefault="00824414" w:rsidP="00D80682">
            <w:pPr>
              <w:spacing w:line="276" w:lineRule="auto"/>
              <w:rPr>
                <w:rFonts w:cs="Arial"/>
                <w:sz w:val="18"/>
                <w:szCs w:val="18"/>
              </w:rPr>
            </w:pPr>
            <w:r w:rsidRPr="001B5F11">
              <w:rPr>
                <w:rFonts w:cs="Arial"/>
                <w:sz w:val="18"/>
                <w:szCs w:val="18"/>
              </w:rPr>
              <w:t>4.4 Each LHCR has the required Service Level Agreements</w:t>
            </w:r>
          </w:p>
        </w:tc>
        <w:tc>
          <w:tcPr>
            <w:tcW w:w="2407" w:type="dxa"/>
          </w:tcPr>
          <w:p w14:paraId="40BBF2B9" w14:textId="77777777" w:rsidR="00824414" w:rsidRPr="001B5F11" w:rsidRDefault="00824414" w:rsidP="00D80682">
            <w:pPr>
              <w:rPr>
                <w:rFonts w:cs="Arial"/>
                <w:sz w:val="18"/>
                <w:szCs w:val="18"/>
              </w:rPr>
            </w:pPr>
            <w:r>
              <w:rPr>
                <w:rFonts w:cs="Arial"/>
                <w:sz w:val="18"/>
                <w:szCs w:val="18"/>
              </w:rPr>
              <w:t>N/A</w:t>
            </w:r>
          </w:p>
        </w:tc>
        <w:tc>
          <w:tcPr>
            <w:tcW w:w="2268" w:type="dxa"/>
          </w:tcPr>
          <w:p w14:paraId="055B6B71" w14:textId="77777777" w:rsidR="00824414" w:rsidRPr="001B5F11" w:rsidRDefault="00824414" w:rsidP="00D80682">
            <w:pPr>
              <w:rPr>
                <w:rFonts w:cs="Arial"/>
                <w:sz w:val="18"/>
                <w:szCs w:val="18"/>
              </w:rPr>
            </w:pPr>
          </w:p>
        </w:tc>
        <w:tc>
          <w:tcPr>
            <w:tcW w:w="3174" w:type="dxa"/>
          </w:tcPr>
          <w:p w14:paraId="1F35856D" w14:textId="77777777" w:rsidR="00824414" w:rsidRPr="001B5F11" w:rsidRDefault="00824414" w:rsidP="00D80682">
            <w:pPr>
              <w:rPr>
                <w:rFonts w:cs="Arial"/>
                <w:sz w:val="18"/>
                <w:szCs w:val="18"/>
              </w:rPr>
            </w:pPr>
          </w:p>
        </w:tc>
      </w:tr>
      <w:tr w:rsidR="00824414" w:rsidRPr="001B5F11" w14:paraId="0FB4D2A2" w14:textId="77777777" w:rsidTr="00824414">
        <w:trPr>
          <w:jc w:val="center"/>
        </w:trPr>
        <w:tc>
          <w:tcPr>
            <w:tcW w:w="2355" w:type="dxa"/>
            <w:vMerge/>
            <w:tcBorders>
              <w:bottom w:val="single" w:sz="4" w:space="0" w:color="auto"/>
            </w:tcBorders>
          </w:tcPr>
          <w:p w14:paraId="047E6D30" w14:textId="77777777" w:rsidR="00824414" w:rsidRPr="001B5F11" w:rsidRDefault="00824414" w:rsidP="00D80682">
            <w:pPr>
              <w:rPr>
                <w:rFonts w:cs="Arial"/>
                <w:sz w:val="18"/>
                <w:szCs w:val="18"/>
              </w:rPr>
            </w:pPr>
          </w:p>
        </w:tc>
        <w:tc>
          <w:tcPr>
            <w:tcW w:w="5105" w:type="dxa"/>
            <w:tcBorders>
              <w:bottom w:val="single" w:sz="4" w:space="0" w:color="auto"/>
            </w:tcBorders>
          </w:tcPr>
          <w:p w14:paraId="012F85C9" w14:textId="77777777" w:rsidR="00824414" w:rsidRPr="001B5F11" w:rsidRDefault="00824414" w:rsidP="00D80682">
            <w:pPr>
              <w:spacing w:line="276" w:lineRule="auto"/>
              <w:rPr>
                <w:rFonts w:cs="Arial"/>
                <w:sz w:val="18"/>
                <w:szCs w:val="18"/>
              </w:rPr>
            </w:pPr>
            <w:r w:rsidRPr="001B5F11">
              <w:rPr>
                <w:rFonts w:cs="Arial"/>
                <w:sz w:val="18"/>
                <w:szCs w:val="18"/>
              </w:rPr>
              <w:t xml:space="preserve">4.5 Each LHCR use standard contract clauses </w:t>
            </w:r>
          </w:p>
        </w:tc>
        <w:tc>
          <w:tcPr>
            <w:tcW w:w="2407" w:type="dxa"/>
            <w:tcBorders>
              <w:bottom w:val="single" w:sz="4" w:space="0" w:color="auto"/>
            </w:tcBorders>
          </w:tcPr>
          <w:p w14:paraId="172C1E1A" w14:textId="77777777" w:rsidR="00824414" w:rsidRPr="001B5F11" w:rsidRDefault="00824414" w:rsidP="00D80682">
            <w:pPr>
              <w:rPr>
                <w:rFonts w:cs="Arial"/>
                <w:sz w:val="18"/>
                <w:szCs w:val="18"/>
              </w:rPr>
            </w:pPr>
            <w:r>
              <w:rPr>
                <w:rFonts w:cs="Arial"/>
                <w:sz w:val="18"/>
                <w:szCs w:val="18"/>
              </w:rPr>
              <w:t>N/A</w:t>
            </w:r>
          </w:p>
        </w:tc>
        <w:tc>
          <w:tcPr>
            <w:tcW w:w="2268" w:type="dxa"/>
            <w:tcBorders>
              <w:bottom w:val="single" w:sz="4" w:space="0" w:color="auto"/>
            </w:tcBorders>
          </w:tcPr>
          <w:p w14:paraId="128B9A20" w14:textId="77777777" w:rsidR="00824414" w:rsidRPr="001B5F11" w:rsidRDefault="00824414" w:rsidP="00D80682">
            <w:pPr>
              <w:rPr>
                <w:rFonts w:cs="Arial"/>
                <w:sz w:val="18"/>
                <w:szCs w:val="18"/>
              </w:rPr>
            </w:pPr>
          </w:p>
        </w:tc>
        <w:tc>
          <w:tcPr>
            <w:tcW w:w="3174" w:type="dxa"/>
            <w:tcBorders>
              <w:bottom w:val="single" w:sz="4" w:space="0" w:color="auto"/>
            </w:tcBorders>
          </w:tcPr>
          <w:p w14:paraId="10A471F7" w14:textId="77777777" w:rsidR="00824414" w:rsidRPr="001B5F11" w:rsidRDefault="00824414" w:rsidP="00D80682">
            <w:pPr>
              <w:rPr>
                <w:rFonts w:cs="Arial"/>
                <w:sz w:val="18"/>
                <w:szCs w:val="18"/>
              </w:rPr>
            </w:pPr>
          </w:p>
        </w:tc>
      </w:tr>
      <w:tr w:rsidR="00824414" w:rsidRPr="001B5F11" w14:paraId="344F0040" w14:textId="77777777" w:rsidTr="00824414">
        <w:trPr>
          <w:jc w:val="center"/>
        </w:trPr>
        <w:tc>
          <w:tcPr>
            <w:tcW w:w="2355" w:type="dxa"/>
            <w:vMerge w:val="restart"/>
          </w:tcPr>
          <w:p w14:paraId="27014E08" w14:textId="77777777" w:rsidR="00824414" w:rsidRPr="001B5F11" w:rsidRDefault="00824414" w:rsidP="00B914EE">
            <w:pPr>
              <w:pStyle w:val="ListParagraph"/>
              <w:numPr>
                <w:ilvl w:val="0"/>
                <w:numId w:val="30"/>
              </w:numPr>
              <w:spacing w:line="276" w:lineRule="auto"/>
              <w:rPr>
                <w:rFonts w:ascii="Arial" w:hAnsi="Arial"/>
                <w:b/>
                <w:sz w:val="18"/>
                <w:szCs w:val="18"/>
              </w:rPr>
            </w:pPr>
            <w:r w:rsidRPr="001B5F11">
              <w:rPr>
                <w:rFonts w:ascii="Arial" w:hAnsi="Arial"/>
                <w:b/>
                <w:sz w:val="18"/>
                <w:szCs w:val="18"/>
              </w:rPr>
              <w:t>Records of Processing Activity. Art 30</w:t>
            </w:r>
          </w:p>
          <w:p w14:paraId="781B5B70" w14:textId="77777777" w:rsidR="00824414" w:rsidRPr="001B5F11" w:rsidRDefault="00824414" w:rsidP="00D80682">
            <w:pPr>
              <w:spacing w:line="276" w:lineRule="auto"/>
              <w:rPr>
                <w:sz w:val="18"/>
                <w:szCs w:val="18"/>
              </w:rPr>
            </w:pPr>
            <w:r w:rsidRPr="001B5F11">
              <w:rPr>
                <w:sz w:val="18"/>
                <w:szCs w:val="18"/>
              </w:rPr>
              <w:t>Organisations (which are public bodies) need to be clear that the processing that they wish to undertake matches their statutory functions. They are to produce and maintain Records of Processing Activity (RoPA) as part of legal compliance.</w:t>
            </w:r>
          </w:p>
          <w:p w14:paraId="4C8FC7AB" w14:textId="77777777" w:rsidR="00824414" w:rsidRPr="001B5F11" w:rsidRDefault="00824414" w:rsidP="00D80682">
            <w:pPr>
              <w:spacing w:line="276" w:lineRule="auto"/>
              <w:rPr>
                <w:rFonts w:cs="Arial"/>
                <w:sz w:val="18"/>
                <w:szCs w:val="18"/>
              </w:rPr>
            </w:pPr>
          </w:p>
          <w:p w14:paraId="42EBC39D" w14:textId="77777777" w:rsidR="00824414" w:rsidRPr="001B5F11" w:rsidRDefault="00824414" w:rsidP="00D80682">
            <w:pPr>
              <w:rPr>
                <w:rFonts w:cs="Arial"/>
                <w:sz w:val="18"/>
                <w:szCs w:val="18"/>
              </w:rPr>
            </w:pPr>
            <w:r w:rsidRPr="001B5F11">
              <w:rPr>
                <w:rFonts w:cs="Arial"/>
                <w:sz w:val="18"/>
                <w:szCs w:val="18"/>
              </w:rPr>
              <w:t>These statutory functions and legislation should also be identified and published in the Information Asset</w:t>
            </w:r>
          </w:p>
        </w:tc>
        <w:tc>
          <w:tcPr>
            <w:tcW w:w="5105" w:type="dxa"/>
          </w:tcPr>
          <w:p w14:paraId="69BC255D" w14:textId="77777777" w:rsidR="00824414" w:rsidRPr="001B5F11" w:rsidRDefault="00824414" w:rsidP="00B914EE">
            <w:pPr>
              <w:pStyle w:val="ListParagraph"/>
              <w:numPr>
                <w:ilvl w:val="1"/>
                <w:numId w:val="47"/>
              </w:numPr>
              <w:autoSpaceDN w:val="0"/>
              <w:spacing w:before="0" w:after="0" w:line="276" w:lineRule="auto"/>
              <w:ind w:left="0"/>
              <w:jc w:val="left"/>
              <w:rPr>
                <w:rFonts w:ascii="Arial" w:hAnsi="Arial"/>
                <w:bCs/>
                <w:sz w:val="18"/>
                <w:szCs w:val="18"/>
              </w:rPr>
            </w:pPr>
            <w:r>
              <w:rPr>
                <w:rFonts w:ascii="Arial" w:hAnsi="Arial"/>
                <w:sz w:val="18"/>
                <w:szCs w:val="18"/>
              </w:rPr>
              <w:t xml:space="preserve">5.1 </w:t>
            </w:r>
            <w:r w:rsidRPr="001B5F11">
              <w:rPr>
                <w:rFonts w:ascii="Arial" w:hAnsi="Arial"/>
                <w:sz w:val="18"/>
                <w:szCs w:val="18"/>
              </w:rPr>
              <w:t>Evidence of Records of Processing Activity / Production of an Information Asset register</w:t>
            </w:r>
          </w:p>
        </w:tc>
        <w:tc>
          <w:tcPr>
            <w:tcW w:w="2407" w:type="dxa"/>
          </w:tcPr>
          <w:p w14:paraId="71F25DFD" w14:textId="77777777" w:rsidR="00824414" w:rsidRPr="001B5F11" w:rsidRDefault="00824414" w:rsidP="00D80682">
            <w:pPr>
              <w:autoSpaceDN w:val="0"/>
              <w:spacing w:line="276" w:lineRule="auto"/>
              <w:rPr>
                <w:rFonts w:cs="Arial"/>
                <w:sz w:val="18"/>
                <w:szCs w:val="18"/>
              </w:rPr>
            </w:pPr>
            <w:r>
              <w:rPr>
                <w:rFonts w:cs="Arial"/>
                <w:sz w:val="18"/>
                <w:szCs w:val="18"/>
              </w:rPr>
              <w:t>N/A</w:t>
            </w:r>
          </w:p>
        </w:tc>
        <w:tc>
          <w:tcPr>
            <w:tcW w:w="2268" w:type="dxa"/>
          </w:tcPr>
          <w:p w14:paraId="7A0CA0C0" w14:textId="77777777" w:rsidR="00824414" w:rsidRPr="001B5F11" w:rsidRDefault="00824414" w:rsidP="00D80682">
            <w:pPr>
              <w:rPr>
                <w:rFonts w:cs="Arial"/>
                <w:sz w:val="18"/>
                <w:szCs w:val="18"/>
              </w:rPr>
            </w:pPr>
          </w:p>
        </w:tc>
        <w:tc>
          <w:tcPr>
            <w:tcW w:w="3174" w:type="dxa"/>
          </w:tcPr>
          <w:p w14:paraId="517FF10A" w14:textId="77777777" w:rsidR="00824414" w:rsidRPr="001B5F11" w:rsidRDefault="00824414" w:rsidP="00D80682">
            <w:pPr>
              <w:rPr>
                <w:rFonts w:cs="Arial"/>
                <w:sz w:val="18"/>
                <w:szCs w:val="18"/>
              </w:rPr>
            </w:pPr>
          </w:p>
        </w:tc>
      </w:tr>
      <w:tr w:rsidR="00824414" w:rsidRPr="001B5F11" w14:paraId="6F890F31" w14:textId="77777777" w:rsidTr="00824414">
        <w:trPr>
          <w:jc w:val="center"/>
        </w:trPr>
        <w:tc>
          <w:tcPr>
            <w:tcW w:w="2355" w:type="dxa"/>
            <w:vMerge/>
            <w:tcBorders>
              <w:bottom w:val="single" w:sz="4" w:space="0" w:color="auto"/>
            </w:tcBorders>
          </w:tcPr>
          <w:p w14:paraId="55C95524" w14:textId="77777777" w:rsidR="00824414" w:rsidRPr="001B5F11" w:rsidRDefault="00824414" w:rsidP="00D80682">
            <w:pPr>
              <w:rPr>
                <w:rFonts w:cs="Arial"/>
                <w:sz w:val="18"/>
                <w:szCs w:val="18"/>
              </w:rPr>
            </w:pPr>
          </w:p>
        </w:tc>
        <w:tc>
          <w:tcPr>
            <w:tcW w:w="5105" w:type="dxa"/>
            <w:tcBorders>
              <w:bottom w:val="single" w:sz="4" w:space="0" w:color="auto"/>
            </w:tcBorders>
          </w:tcPr>
          <w:p w14:paraId="27D42145" w14:textId="77777777" w:rsidR="00824414" w:rsidRPr="001B5F11" w:rsidRDefault="00824414" w:rsidP="00D80682">
            <w:pPr>
              <w:autoSpaceDN w:val="0"/>
              <w:spacing w:line="276" w:lineRule="auto"/>
              <w:rPr>
                <w:rFonts w:cs="Arial"/>
                <w:sz w:val="18"/>
                <w:szCs w:val="18"/>
              </w:rPr>
            </w:pPr>
            <w:r w:rsidRPr="001B5F11">
              <w:rPr>
                <w:rFonts w:cs="Arial"/>
                <w:sz w:val="18"/>
                <w:szCs w:val="18"/>
              </w:rPr>
              <w:t>5.2 Evidence of policies and procedures for information asset management</w:t>
            </w:r>
          </w:p>
        </w:tc>
        <w:tc>
          <w:tcPr>
            <w:tcW w:w="2407" w:type="dxa"/>
            <w:tcBorders>
              <w:bottom w:val="single" w:sz="4" w:space="0" w:color="auto"/>
            </w:tcBorders>
          </w:tcPr>
          <w:p w14:paraId="100D09B8" w14:textId="77777777" w:rsidR="00824414" w:rsidRPr="001B5F11" w:rsidRDefault="00824414" w:rsidP="00D80682">
            <w:pPr>
              <w:autoSpaceDN w:val="0"/>
              <w:spacing w:line="276" w:lineRule="auto"/>
              <w:rPr>
                <w:rFonts w:cs="Arial"/>
                <w:sz w:val="18"/>
                <w:szCs w:val="18"/>
              </w:rPr>
            </w:pPr>
            <w:r>
              <w:rPr>
                <w:rFonts w:cs="Arial"/>
                <w:sz w:val="18"/>
                <w:szCs w:val="18"/>
              </w:rPr>
              <w:t>N/A</w:t>
            </w:r>
          </w:p>
        </w:tc>
        <w:tc>
          <w:tcPr>
            <w:tcW w:w="2268" w:type="dxa"/>
            <w:tcBorders>
              <w:bottom w:val="single" w:sz="4" w:space="0" w:color="auto"/>
            </w:tcBorders>
          </w:tcPr>
          <w:p w14:paraId="5F3A8D6A" w14:textId="77777777" w:rsidR="00824414" w:rsidRPr="001B5F11" w:rsidRDefault="00824414" w:rsidP="00D80682">
            <w:pPr>
              <w:rPr>
                <w:rFonts w:cs="Arial"/>
                <w:sz w:val="18"/>
                <w:szCs w:val="18"/>
              </w:rPr>
            </w:pPr>
          </w:p>
        </w:tc>
        <w:tc>
          <w:tcPr>
            <w:tcW w:w="3174" w:type="dxa"/>
            <w:tcBorders>
              <w:bottom w:val="single" w:sz="4" w:space="0" w:color="auto"/>
            </w:tcBorders>
          </w:tcPr>
          <w:p w14:paraId="645016D6" w14:textId="77777777" w:rsidR="00824414" w:rsidRPr="001B5F11" w:rsidRDefault="00824414" w:rsidP="00D80682">
            <w:pPr>
              <w:rPr>
                <w:rFonts w:cs="Arial"/>
                <w:sz w:val="18"/>
                <w:szCs w:val="18"/>
              </w:rPr>
            </w:pPr>
          </w:p>
        </w:tc>
      </w:tr>
      <w:tr w:rsidR="00824414" w:rsidRPr="001B5F11" w14:paraId="2E293FFB" w14:textId="77777777" w:rsidTr="00824414">
        <w:trPr>
          <w:jc w:val="center"/>
        </w:trPr>
        <w:tc>
          <w:tcPr>
            <w:tcW w:w="2355" w:type="dxa"/>
            <w:vMerge w:val="restart"/>
          </w:tcPr>
          <w:p w14:paraId="7818C9E0" w14:textId="77777777" w:rsidR="00824414" w:rsidRPr="001B5F11" w:rsidRDefault="00824414" w:rsidP="00B914EE">
            <w:pPr>
              <w:pStyle w:val="ListParagraph"/>
              <w:numPr>
                <w:ilvl w:val="0"/>
                <w:numId w:val="30"/>
              </w:numPr>
              <w:rPr>
                <w:rFonts w:ascii="Arial" w:hAnsi="Arial"/>
                <w:b/>
                <w:sz w:val="18"/>
                <w:szCs w:val="18"/>
              </w:rPr>
            </w:pPr>
            <w:r w:rsidRPr="001B5F11">
              <w:rPr>
                <w:rFonts w:ascii="Arial" w:hAnsi="Arial"/>
                <w:b/>
                <w:sz w:val="18"/>
                <w:szCs w:val="18"/>
              </w:rPr>
              <w:t>Assuring Security</w:t>
            </w:r>
          </w:p>
          <w:p w14:paraId="6A0598F9" w14:textId="77777777" w:rsidR="00824414" w:rsidRPr="001B5F11" w:rsidRDefault="00824414" w:rsidP="00D80682">
            <w:pPr>
              <w:rPr>
                <w:rFonts w:cs="Arial"/>
                <w:sz w:val="18"/>
                <w:szCs w:val="18"/>
              </w:rPr>
            </w:pPr>
            <w:r w:rsidRPr="001B5F11">
              <w:rPr>
                <w:rFonts w:cs="Arial"/>
                <w:sz w:val="18"/>
                <w:szCs w:val="18"/>
              </w:rPr>
              <w:t>within the LHCR comply with relevant legislation and adhere to current published guidance for health and care and, develop cyber security to protect the confidential</w:t>
            </w:r>
          </w:p>
          <w:p w14:paraId="73CA795F" w14:textId="77777777" w:rsidR="00824414" w:rsidRPr="001B5F11" w:rsidRDefault="00824414" w:rsidP="00D80682">
            <w:pPr>
              <w:rPr>
                <w:rFonts w:cs="Arial"/>
                <w:sz w:val="18"/>
                <w:szCs w:val="18"/>
              </w:rPr>
            </w:pPr>
          </w:p>
          <w:p w14:paraId="399F2773" w14:textId="77777777" w:rsidR="00824414" w:rsidRPr="001B5F11" w:rsidRDefault="00824414" w:rsidP="00D80682">
            <w:pPr>
              <w:rPr>
                <w:rFonts w:cs="Arial"/>
                <w:sz w:val="18"/>
                <w:szCs w:val="18"/>
              </w:rPr>
            </w:pPr>
          </w:p>
        </w:tc>
        <w:tc>
          <w:tcPr>
            <w:tcW w:w="5105" w:type="dxa"/>
          </w:tcPr>
          <w:p w14:paraId="29B93D06" w14:textId="77777777" w:rsidR="00824414" w:rsidRPr="001B5F11" w:rsidRDefault="00824414" w:rsidP="00D80682">
            <w:pPr>
              <w:autoSpaceDN w:val="0"/>
              <w:spacing w:line="276" w:lineRule="auto"/>
              <w:rPr>
                <w:rFonts w:cs="Arial"/>
                <w:sz w:val="18"/>
                <w:szCs w:val="18"/>
              </w:rPr>
            </w:pPr>
            <w:r w:rsidRPr="001B5F11">
              <w:rPr>
                <w:rFonts w:cs="Arial"/>
                <w:color w:val="0D0D0D" w:themeColor="text1" w:themeTint="F2"/>
                <w:sz w:val="18"/>
                <w:szCs w:val="18"/>
              </w:rPr>
              <w:lastRenderedPageBreak/>
              <w:t>6.1 Publication and evidence of compliance with policies for areas such as staff training, internal audit, HR policies, retention and disposal schedules.</w:t>
            </w:r>
          </w:p>
        </w:tc>
        <w:tc>
          <w:tcPr>
            <w:tcW w:w="2407" w:type="dxa"/>
          </w:tcPr>
          <w:p w14:paraId="4266C547" w14:textId="77777777" w:rsidR="00824414" w:rsidRPr="004968C9" w:rsidRDefault="00824414" w:rsidP="00D80682">
            <w:pPr>
              <w:autoSpaceDN w:val="0"/>
              <w:spacing w:line="276" w:lineRule="auto"/>
              <w:rPr>
                <w:rFonts w:cs="Arial"/>
                <w:sz w:val="18"/>
                <w:szCs w:val="18"/>
              </w:rPr>
            </w:pPr>
            <w:r w:rsidRPr="004968C9">
              <w:rPr>
                <w:rFonts w:cs="Arial"/>
                <w:sz w:val="18"/>
                <w:szCs w:val="18"/>
              </w:rPr>
              <w:t>N/A</w:t>
            </w:r>
          </w:p>
        </w:tc>
        <w:tc>
          <w:tcPr>
            <w:tcW w:w="2268" w:type="dxa"/>
          </w:tcPr>
          <w:p w14:paraId="7BAB142C" w14:textId="77777777" w:rsidR="00824414" w:rsidRPr="001B5F11" w:rsidRDefault="00824414" w:rsidP="00D80682">
            <w:pPr>
              <w:rPr>
                <w:rFonts w:cs="Arial"/>
                <w:sz w:val="18"/>
                <w:szCs w:val="18"/>
              </w:rPr>
            </w:pPr>
          </w:p>
        </w:tc>
        <w:tc>
          <w:tcPr>
            <w:tcW w:w="3174" w:type="dxa"/>
          </w:tcPr>
          <w:p w14:paraId="6D31E4F3" w14:textId="77777777" w:rsidR="00824414" w:rsidRPr="001B5F11" w:rsidRDefault="00824414" w:rsidP="00D80682">
            <w:pPr>
              <w:rPr>
                <w:rFonts w:cs="Arial"/>
                <w:sz w:val="18"/>
                <w:szCs w:val="18"/>
              </w:rPr>
            </w:pPr>
          </w:p>
        </w:tc>
      </w:tr>
      <w:tr w:rsidR="00824414" w:rsidRPr="001B5F11" w14:paraId="1722F8A9" w14:textId="77777777" w:rsidTr="00824414">
        <w:trPr>
          <w:jc w:val="center"/>
        </w:trPr>
        <w:tc>
          <w:tcPr>
            <w:tcW w:w="2355" w:type="dxa"/>
            <w:vMerge/>
          </w:tcPr>
          <w:p w14:paraId="7F8843D7" w14:textId="77777777" w:rsidR="00824414" w:rsidRPr="001B5F11" w:rsidRDefault="00824414" w:rsidP="00D80682">
            <w:pPr>
              <w:rPr>
                <w:rFonts w:cs="Arial"/>
                <w:sz w:val="18"/>
                <w:szCs w:val="18"/>
              </w:rPr>
            </w:pPr>
          </w:p>
        </w:tc>
        <w:tc>
          <w:tcPr>
            <w:tcW w:w="5105" w:type="dxa"/>
          </w:tcPr>
          <w:p w14:paraId="299F9022" w14:textId="77777777" w:rsidR="00824414" w:rsidRPr="001B5F11" w:rsidRDefault="00824414" w:rsidP="00D80682">
            <w:pPr>
              <w:autoSpaceDN w:val="0"/>
              <w:spacing w:line="276" w:lineRule="auto"/>
              <w:rPr>
                <w:rFonts w:cs="Arial"/>
                <w:sz w:val="18"/>
                <w:szCs w:val="18"/>
              </w:rPr>
            </w:pPr>
            <w:r w:rsidRPr="001B5F11">
              <w:rPr>
                <w:rFonts w:cs="Arial"/>
                <w:sz w:val="18"/>
                <w:szCs w:val="18"/>
              </w:rPr>
              <w:t>6.2 Evidence of annual completed and (where there is mandatory requirement) audited Data Security and Protection Toolkit to meet the mandated requirements (e,g, Records of Processing Activities are documented, cyber assurance)</w:t>
            </w:r>
          </w:p>
        </w:tc>
        <w:tc>
          <w:tcPr>
            <w:tcW w:w="2407" w:type="dxa"/>
          </w:tcPr>
          <w:p w14:paraId="69693A19" w14:textId="77777777" w:rsidR="00824414" w:rsidRPr="004968C9" w:rsidRDefault="00824414" w:rsidP="00D80682">
            <w:pPr>
              <w:autoSpaceDN w:val="0"/>
              <w:spacing w:line="276" w:lineRule="auto"/>
              <w:rPr>
                <w:rFonts w:cs="Arial"/>
                <w:sz w:val="18"/>
                <w:szCs w:val="18"/>
              </w:rPr>
            </w:pPr>
            <w:r w:rsidRPr="004968C9">
              <w:rPr>
                <w:rFonts w:cs="Arial"/>
                <w:sz w:val="18"/>
                <w:szCs w:val="18"/>
              </w:rPr>
              <w:t>N/A</w:t>
            </w:r>
          </w:p>
        </w:tc>
        <w:tc>
          <w:tcPr>
            <w:tcW w:w="2268" w:type="dxa"/>
          </w:tcPr>
          <w:p w14:paraId="04E6B172" w14:textId="77777777" w:rsidR="00824414" w:rsidRPr="001B5F11" w:rsidRDefault="00824414" w:rsidP="00D80682">
            <w:pPr>
              <w:rPr>
                <w:rFonts w:cs="Arial"/>
                <w:sz w:val="18"/>
                <w:szCs w:val="18"/>
              </w:rPr>
            </w:pPr>
          </w:p>
        </w:tc>
        <w:tc>
          <w:tcPr>
            <w:tcW w:w="3174" w:type="dxa"/>
          </w:tcPr>
          <w:p w14:paraId="21320628" w14:textId="77777777" w:rsidR="00824414" w:rsidRPr="001B5F11" w:rsidRDefault="00824414" w:rsidP="00D80682">
            <w:pPr>
              <w:rPr>
                <w:rFonts w:cs="Arial"/>
                <w:sz w:val="18"/>
                <w:szCs w:val="18"/>
              </w:rPr>
            </w:pPr>
          </w:p>
        </w:tc>
      </w:tr>
      <w:tr w:rsidR="00824414" w:rsidRPr="001B5F11" w14:paraId="6AF17B41" w14:textId="77777777" w:rsidTr="00824414">
        <w:trPr>
          <w:jc w:val="center"/>
        </w:trPr>
        <w:tc>
          <w:tcPr>
            <w:tcW w:w="2355" w:type="dxa"/>
            <w:vMerge/>
          </w:tcPr>
          <w:p w14:paraId="33AA33DA" w14:textId="77777777" w:rsidR="00824414" w:rsidRPr="001B5F11" w:rsidRDefault="00824414" w:rsidP="00D80682">
            <w:pPr>
              <w:rPr>
                <w:rFonts w:cs="Arial"/>
                <w:sz w:val="18"/>
                <w:szCs w:val="18"/>
              </w:rPr>
            </w:pPr>
          </w:p>
        </w:tc>
        <w:tc>
          <w:tcPr>
            <w:tcW w:w="5105" w:type="dxa"/>
          </w:tcPr>
          <w:p w14:paraId="2393FE79" w14:textId="77777777" w:rsidR="00824414" w:rsidRPr="001B5F11" w:rsidRDefault="00824414" w:rsidP="00D80682">
            <w:pPr>
              <w:autoSpaceDN w:val="0"/>
              <w:spacing w:line="276" w:lineRule="auto"/>
              <w:rPr>
                <w:rFonts w:cs="Arial"/>
                <w:sz w:val="18"/>
                <w:szCs w:val="18"/>
              </w:rPr>
            </w:pPr>
            <w:r w:rsidRPr="001B5F11">
              <w:rPr>
                <w:rFonts w:cs="Arial"/>
                <w:sz w:val="18"/>
                <w:szCs w:val="18"/>
              </w:rPr>
              <w:t xml:space="preserve">6.3 Evidence of Board approved action plan </w:t>
            </w:r>
            <w:r w:rsidRPr="001B5F11">
              <w:rPr>
                <w:rFonts w:cs="Arial"/>
                <w:b/>
                <w:sz w:val="18"/>
                <w:szCs w:val="18"/>
                <w:u w:val="single"/>
              </w:rPr>
              <w:t>IF</w:t>
            </w:r>
            <w:r w:rsidRPr="001B5F11">
              <w:rPr>
                <w:rFonts w:cs="Arial"/>
                <w:sz w:val="18"/>
                <w:szCs w:val="18"/>
              </w:rPr>
              <w:t xml:space="preserve"> the mandated requirements are not met</w:t>
            </w:r>
          </w:p>
        </w:tc>
        <w:tc>
          <w:tcPr>
            <w:tcW w:w="2407" w:type="dxa"/>
          </w:tcPr>
          <w:p w14:paraId="7F963E59" w14:textId="77777777" w:rsidR="00824414" w:rsidRPr="004968C9" w:rsidRDefault="00824414" w:rsidP="00D80682">
            <w:pPr>
              <w:autoSpaceDN w:val="0"/>
              <w:spacing w:line="276" w:lineRule="auto"/>
              <w:rPr>
                <w:rFonts w:cs="Arial"/>
                <w:sz w:val="18"/>
                <w:szCs w:val="18"/>
              </w:rPr>
            </w:pPr>
            <w:r w:rsidRPr="004968C9">
              <w:rPr>
                <w:rFonts w:cs="Arial"/>
                <w:sz w:val="18"/>
                <w:szCs w:val="18"/>
              </w:rPr>
              <w:t>N/A</w:t>
            </w:r>
          </w:p>
        </w:tc>
        <w:tc>
          <w:tcPr>
            <w:tcW w:w="2268" w:type="dxa"/>
          </w:tcPr>
          <w:p w14:paraId="41E2C6BB" w14:textId="77777777" w:rsidR="00824414" w:rsidRPr="001B5F11" w:rsidRDefault="00824414" w:rsidP="00D80682">
            <w:pPr>
              <w:rPr>
                <w:rFonts w:cs="Arial"/>
                <w:sz w:val="18"/>
                <w:szCs w:val="18"/>
              </w:rPr>
            </w:pPr>
          </w:p>
        </w:tc>
        <w:tc>
          <w:tcPr>
            <w:tcW w:w="3174" w:type="dxa"/>
          </w:tcPr>
          <w:p w14:paraId="33EECB14" w14:textId="77777777" w:rsidR="00824414" w:rsidRPr="001B5F11" w:rsidRDefault="00824414" w:rsidP="00D80682">
            <w:pPr>
              <w:rPr>
                <w:rFonts w:cs="Arial"/>
                <w:sz w:val="18"/>
                <w:szCs w:val="18"/>
              </w:rPr>
            </w:pPr>
          </w:p>
        </w:tc>
      </w:tr>
      <w:tr w:rsidR="00824414" w:rsidRPr="001B5F11" w14:paraId="5F73AEC9" w14:textId="77777777" w:rsidTr="00824414">
        <w:trPr>
          <w:jc w:val="center"/>
        </w:trPr>
        <w:tc>
          <w:tcPr>
            <w:tcW w:w="2355" w:type="dxa"/>
            <w:vMerge/>
          </w:tcPr>
          <w:p w14:paraId="4D126745" w14:textId="77777777" w:rsidR="00824414" w:rsidRPr="001B5F11" w:rsidRDefault="00824414" w:rsidP="00D80682">
            <w:pPr>
              <w:rPr>
                <w:rFonts w:cs="Arial"/>
                <w:sz w:val="18"/>
                <w:szCs w:val="18"/>
              </w:rPr>
            </w:pPr>
          </w:p>
        </w:tc>
        <w:tc>
          <w:tcPr>
            <w:tcW w:w="5105" w:type="dxa"/>
          </w:tcPr>
          <w:p w14:paraId="5610A93E" w14:textId="77777777" w:rsidR="00824414" w:rsidRPr="001B5F11" w:rsidRDefault="00824414" w:rsidP="00D80682">
            <w:pPr>
              <w:autoSpaceDN w:val="0"/>
              <w:spacing w:line="276" w:lineRule="auto"/>
              <w:rPr>
                <w:rFonts w:cs="Arial"/>
                <w:color w:val="000000" w:themeColor="text1"/>
                <w:sz w:val="18"/>
                <w:szCs w:val="18"/>
              </w:rPr>
            </w:pPr>
            <w:r w:rsidRPr="001B5F11">
              <w:rPr>
                <w:rFonts w:cs="Arial"/>
                <w:sz w:val="18"/>
                <w:szCs w:val="18"/>
              </w:rPr>
              <w:t xml:space="preserve">6.4 </w:t>
            </w:r>
            <w:r w:rsidRPr="001B5F11">
              <w:rPr>
                <w:rFonts w:cs="Arial"/>
                <w:color w:val="000000" w:themeColor="text1"/>
                <w:sz w:val="18"/>
                <w:szCs w:val="18"/>
              </w:rPr>
              <w:t>Evidence of independent onsite assessments</w:t>
            </w:r>
          </w:p>
        </w:tc>
        <w:tc>
          <w:tcPr>
            <w:tcW w:w="2407" w:type="dxa"/>
          </w:tcPr>
          <w:p w14:paraId="58398DEF" w14:textId="77777777" w:rsidR="00824414" w:rsidRPr="004968C9" w:rsidRDefault="00824414" w:rsidP="00D80682">
            <w:pPr>
              <w:autoSpaceDN w:val="0"/>
              <w:spacing w:line="276" w:lineRule="auto"/>
              <w:rPr>
                <w:rFonts w:cs="Arial"/>
                <w:sz w:val="18"/>
                <w:szCs w:val="18"/>
              </w:rPr>
            </w:pPr>
            <w:r w:rsidRPr="004968C9">
              <w:rPr>
                <w:rFonts w:cs="Arial"/>
                <w:sz w:val="18"/>
                <w:szCs w:val="18"/>
              </w:rPr>
              <w:t>N/A</w:t>
            </w:r>
          </w:p>
        </w:tc>
        <w:tc>
          <w:tcPr>
            <w:tcW w:w="2268" w:type="dxa"/>
          </w:tcPr>
          <w:p w14:paraId="3306DE92" w14:textId="77777777" w:rsidR="00824414" w:rsidRPr="001B5F11" w:rsidRDefault="00824414" w:rsidP="00D80682">
            <w:pPr>
              <w:rPr>
                <w:rFonts w:cs="Arial"/>
                <w:sz w:val="18"/>
                <w:szCs w:val="18"/>
              </w:rPr>
            </w:pPr>
          </w:p>
        </w:tc>
        <w:tc>
          <w:tcPr>
            <w:tcW w:w="3174" w:type="dxa"/>
          </w:tcPr>
          <w:p w14:paraId="29954B3A" w14:textId="77777777" w:rsidR="00824414" w:rsidRPr="001B5F11" w:rsidRDefault="00824414" w:rsidP="00D80682">
            <w:pPr>
              <w:rPr>
                <w:rFonts w:cs="Arial"/>
                <w:sz w:val="18"/>
                <w:szCs w:val="18"/>
              </w:rPr>
            </w:pPr>
          </w:p>
        </w:tc>
      </w:tr>
      <w:tr w:rsidR="00824414" w:rsidRPr="001B5F11" w14:paraId="1C30A84B" w14:textId="77777777" w:rsidTr="00824414">
        <w:trPr>
          <w:jc w:val="center"/>
        </w:trPr>
        <w:tc>
          <w:tcPr>
            <w:tcW w:w="2355" w:type="dxa"/>
            <w:vMerge/>
            <w:tcBorders>
              <w:bottom w:val="single" w:sz="4" w:space="0" w:color="auto"/>
            </w:tcBorders>
          </w:tcPr>
          <w:p w14:paraId="74053021" w14:textId="77777777" w:rsidR="00824414" w:rsidRPr="001B5F11" w:rsidRDefault="00824414" w:rsidP="00D80682">
            <w:pPr>
              <w:rPr>
                <w:rFonts w:cs="Arial"/>
                <w:sz w:val="18"/>
                <w:szCs w:val="18"/>
              </w:rPr>
            </w:pPr>
          </w:p>
        </w:tc>
        <w:tc>
          <w:tcPr>
            <w:tcW w:w="5105" w:type="dxa"/>
            <w:tcBorders>
              <w:bottom w:val="single" w:sz="4" w:space="0" w:color="auto"/>
            </w:tcBorders>
          </w:tcPr>
          <w:p w14:paraId="06145D66" w14:textId="77777777" w:rsidR="00824414" w:rsidRPr="001B5F11" w:rsidRDefault="00824414" w:rsidP="00D80682">
            <w:pPr>
              <w:autoSpaceDN w:val="0"/>
              <w:spacing w:line="276" w:lineRule="auto"/>
              <w:rPr>
                <w:rFonts w:cs="Arial"/>
                <w:sz w:val="18"/>
                <w:szCs w:val="18"/>
              </w:rPr>
            </w:pPr>
            <w:r w:rsidRPr="001B5F11">
              <w:rPr>
                <w:rFonts w:cs="Arial"/>
                <w:sz w:val="18"/>
                <w:szCs w:val="18"/>
              </w:rPr>
              <w:t>6.5 Evidence of organisations signed up to receive cyber threat intelligence from CARECERT.</w:t>
            </w:r>
          </w:p>
        </w:tc>
        <w:tc>
          <w:tcPr>
            <w:tcW w:w="2407" w:type="dxa"/>
            <w:tcBorders>
              <w:bottom w:val="single" w:sz="4" w:space="0" w:color="auto"/>
            </w:tcBorders>
          </w:tcPr>
          <w:p w14:paraId="564FCBD3" w14:textId="77777777" w:rsidR="00824414" w:rsidRPr="001B5F11" w:rsidRDefault="00824414" w:rsidP="00D80682">
            <w:pPr>
              <w:autoSpaceDN w:val="0"/>
              <w:spacing w:line="276" w:lineRule="auto"/>
              <w:rPr>
                <w:rFonts w:cs="Arial"/>
                <w:sz w:val="18"/>
                <w:szCs w:val="18"/>
              </w:rPr>
            </w:pPr>
            <w:r>
              <w:rPr>
                <w:rFonts w:cs="Arial"/>
                <w:sz w:val="18"/>
                <w:szCs w:val="18"/>
              </w:rPr>
              <w:t>N/A</w:t>
            </w:r>
          </w:p>
        </w:tc>
        <w:tc>
          <w:tcPr>
            <w:tcW w:w="2268" w:type="dxa"/>
            <w:tcBorders>
              <w:bottom w:val="single" w:sz="4" w:space="0" w:color="auto"/>
            </w:tcBorders>
          </w:tcPr>
          <w:p w14:paraId="4E4B3937" w14:textId="77777777" w:rsidR="00824414" w:rsidRPr="001B5F11" w:rsidRDefault="00824414" w:rsidP="00D80682">
            <w:pPr>
              <w:rPr>
                <w:rFonts w:cs="Arial"/>
                <w:sz w:val="18"/>
                <w:szCs w:val="18"/>
              </w:rPr>
            </w:pPr>
          </w:p>
        </w:tc>
        <w:tc>
          <w:tcPr>
            <w:tcW w:w="3174" w:type="dxa"/>
            <w:tcBorders>
              <w:bottom w:val="single" w:sz="4" w:space="0" w:color="auto"/>
            </w:tcBorders>
          </w:tcPr>
          <w:p w14:paraId="36DECB79" w14:textId="77777777" w:rsidR="00824414" w:rsidRPr="001B5F11" w:rsidRDefault="00824414" w:rsidP="00D80682">
            <w:pPr>
              <w:rPr>
                <w:rFonts w:cs="Arial"/>
                <w:sz w:val="18"/>
                <w:szCs w:val="18"/>
              </w:rPr>
            </w:pPr>
          </w:p>
        </w:tc>
      </w:tr>
      <w:tr w:rsidR="00824414" w:rsidRPr="001B5F11" w14:paraId="1884ABFF" w14:textId="77777777" w:rsidTr="00824414">
        <w:trPr>
          <w:jc w:val="center"/>
        </w:trPr>
        <w:tc>
          <w:tcPr>
            <w:tcW w:w="2355" w:type="dxa"/>
            <w:vMerge w:val="restart"/>
          </w:tcPr>
          <w:p w14:paraId="11B4F5BA" w14:textId="77777777" w:rsidR="00824414" w:rsidRPr="001B5F11" w:rsidRDefault="00824414" w:rsidP="00D80682">
            <w:pPr>
              <w:rPr>
                <w:rFonts w:cs="Arial"/>
                <w:sz w:val="18"/>
                <w:szCs w:val="18"/>
              </w:rPr>
            </w:pPr>
          </w:p>
          <w:p w14:paraId="6643A80D" w14:textId="77777777" w:rsidR="00824414" w:rsidRPr="001B5F11" w:rsidRDefault="00824414" w:rsidP="00D80682">
            <w:pPr>
              <w:rPr>
                <w:rFonts w:cs="Arial"/>
                <w:b/>
                <w:sz w:val="18"/>
                <w:szCs w:val="18"/>
              </w:rPr>
            </w:pPr>
            <w:r w:rsidRPr="001B5F11">
              <w:rPr>
                <w:rFonts w:cs="Arial"/>
                <w:b/>
                <w:sz w:val="18"/>
                <w:szCs w:val="18"/>
              </w:rPr>
              <w:t>7.0 Data Access, Review, Retention</w:t>
            </w:r>
          </w:p>
          <w:p w14:paraId="4C92DF80" w14:textId="77777777" w:rsidR="00824414" w:rsidRPr="001B5F11" w:rsidRDefault="00824414" w:rsidP="00D80682">
            <w:pPr>
              <w:rPr>
                <w:rFonts w:cs="Arial"/>
                <w:sz w:val="18"/>
                <w:szCs w:val="18"/>
              </w:rPr>
            </w:pPr>
          </w:p>
          <w:p w14:paraId="3995171A" w14:textId="77777777" w:rsidR="00824414" w:rsidRPr="001B5F11" w:rsidRDefault="00824414" w:rsidP="00D80682">
            <w:pPr>
              <w:rPr>
                <w:rFonts w:cs="Arial"/>
                <w:sz w:val="18"/>
                <w:szCs w:val="18"/>
              </w:rPr>
            </w:pPr>
            <w:r w:rsidRPr="001B5F11">
              <w:rPr>
                <w:rFonts w:cs="Arial"/>
                <w:sz w:val="18"/>
                <w:szCs w:val="18"/>
              </w:rPr>
              <w:t>LHCRs need to have audit functionality which enables controllers to meet their access control responsibilities</w:t>
            </w:r>
          </w:p>
          <w:p w14:paraId="27A425FA" w14:textId="77777777" w:rsidR="00824414" w:rsidRPr="001B5F11" w:rsidRDefault="00824414" w:rsidP="00D80682">
            <w:pPr>
              <w:rPr>
                <w:rFonts w:cs="Arial"/>
                <w:sz w:val="18"/>
                <w:szCs w:val="18"/>
              </w:rPr>
            </w:pPr>
          </w:p>
        </w:tc>
        <w:tc>
          <w:tcPr>
            <w:tcW w:w="5105" w:type="dxa"/>
          </w:tcPr>
          <w:p w14:paraId="5F51A004"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7.1 Data Maps</w:t>
            </w:r>
          </w:p>
        </w:tc>
        <w:tc>
          <w:tcPr>
            <w:tcW w:w="2407" w:type="dxa"/>
          </w:tcPr>
          <w:p w14:paraId="59749C22" w14:textId="77777777" w:rsidR="00824414" w:rsidRPr="001B5F11" w:rsidRDefault="00824414" w:rsidP="00D80682">
            <w:pPr>
              <w:autoSpaceDN w:val="0"/>
              <w:spacing w:line="276" w:lineRule="auto"/>
              <w:rPr>
                <w:rFonts w:cs="Arial"/>
                <w:color w:val="000000" w:themeColor="text1"/>
                <w:sz w:val="18"/>
                <w:szCs w:val="18"/>
              </w:rPr>
            </w:pPr>
            <w:r>
              <w:rPr>
                <w:rFonts w:cs="Arial"/>
                <w:color w:val="000000" w:themeColor="text1"/>
                <w:sz w:val="18"/>
                <w:szCs w:val="18"/>
              </w:rPr>
              <w:t>N/A</w:t>
            </w:r>
          </w:p>
        </w:tc>
        <w:tc>
          <w:tcPr>
            <w:tcW w:w="2268" w:type="dxa"/>
          </w:tcPr>
          <w:p w14:paraId="6996A6A8" w14:textId="77777777" w:rsidR="00824414" w:rsidRPr="001B5F11" w:rsidRDefault="00824414" w:rsidP="00D80682">
            <w:pPr>
              <w:rPr>
                <w:rFonts w:cs="Arial"/>
                <w:sz w:val="18"/>
                <w:szCs w:val="18"/>
              </w:rPr>
            </w:pPr>
          </w:p>
        </w:tc>
        <w:tc>
          <w:tcPr>
            <w:tcW w:w="3174" w:type="dxa"/>
          </w:tcPr>
          <w:p w14:paraId="538460DC" w14:textId="77777777" w:rsidR="00824414" w:rsidRPr="001B5F11" w:rsidRDefault="00824414" w:rsidP="00D80682">
            <w:pPr>
              <w:rPr>
                <w:rFonts w:cs="Arial"/>
                <w:sz w:val="18"/>
                <w:szCs w:val="18"/>
              </w:rPr>
            </w:pPr>
          </w:p>
        </w:tc>
      </w:tr>
      <w:tr w:rsidR="00824414" w:rsidRPr="001B5F11" w14:paraId="1A480879" w14:textId="77777777" w:rsidTr="00824414">
        <w:trPr>
          <w:jc w:val="center"/>
        </w:trPr>
        <w:tc>
          <w:tcPr>
            <w:tcW w:w="2355" w:type="dxa"/>
            <w:vMerge/>
          </w:tcPr>
          <w:p w14:paraId="34C70179" w14:textId="77777777" w:rsidR="00824414" w:rsidRPr="001B5F11" w:rsidRDefault="00824414" w:rsidP="00D80682">
            <w:pPr>
              <w:rPr>
                <w:rFonts w:cs="Arial"/>
                <w:sz w:val="18"/>
                <w:szCs w:val="18"/>
              </w:rPr>
            </w:pPr>
          </w:p>
        </w:tc>
        <w:tc>
          <w:tcPr>
            <w:tcW w:w="5105" w:type="dxa"/>
            <w:tcBorders>
              <w:bottom w:val="single" w:sz="4" w:space="0" w:color="auto"/>
            </w:tcBorders>
          </w:tcPr>
          <w:p w14:paraId="51903C66"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7.2 Data Processing Contract</w:t>
            </w:r>
          </w:p>
        </w:tc>
        <w:tc>
          <w:tcPr>
            <w:tcW w:w="2407" w:type="dxa"/>
            <w:tcBorders>
              <w:bottom w:val="single" w:sz="4" w:space="0" w:color="auto"/>
            </w:tcBorders>
          </w:tcPr>
          <w:p w14:paraId="2569ECCC" w14:textId="77777777" w:rsidR="00824414" w:rsidRPr="006D376B" w:rsidRDefault="00824414" w:rsidP="00D80682">
            <w:pPr>
              <w:pStyle w:val="PlainText"/>
              <w:rPr>
                <w:rFonts w:ascii="Arial" w:hAnsi="Arial" w:cs="Arial"/>
                <w:color w:val="000000" w:themeColor="text1"/>
                <w:sz w:val="18"/>
                <w:szCs w:val="18"/>
              </w:rPr>
            </w:pPr>
            <w:r>
              <w:rPr>
                <w:rFonts w:ascii="Arial" w:hAnsi="Arial" w:cs="Arial"/>
                <w:color w:val="000000" w:themeColor="text1"/>
                <w:sz w:val="18"/>
                <w:szCs w:val="18"/>
              </w:rPr>
              <w:t>N/A</w:t>
            </w:r>
          </w:p>
        </w:tc>
        <w:tc>
          <w:tcPr>
            <w:tcW w:w="2268" w:type="dxa"/>
            <w:tcBorders>
              <w:bottom w:val="single" w:sz="4" w:space="0" w:color="auto"/>
            </w:tcBorders>
          </w:tcPr>
          <w:p w14:paraId="6BAE1C7B" w14:textId="77777777" w:rsidR="00824414" w:rsidRPr="001B5F11" w:rsidRDefault="00824414" w:rsidP="00D80682">
            <w:pPr>
              <w:rPr>
                <w:rFonts w:cs="Arial"/>
                <w:sz w:val="18"/>
                <w:szCs w:val="18"/>
              </w:rPr>
            </w:pPr>
          </w:p>
        </w:tc>
        <w:tc>
          <w:tcPr>
            <w:tcW w:w="3174" w:type="dxa"/>
            <w:tcBorders>
              <w:bottom w:val="single" w:sz="4" w:space="0" w:color="auto"/>
            </w:tcBorders>
          </w:tcPr>
          <w:p w14:paraId="11879ABD" w14:textId="77777777" w:rsidR="00824414" w:rsidRPr="001B5F11" w:rsidRDefault="00824414" w:rsidP="00D80682">
            <w:pPr>
              <w:rPr>
                <w:rFonts w:cs="Arial"/>
                <w:sz w:val="18"/>
                <w:szCs w:val="18"/>
              </w:rPr>
            </w:pPr>
          </w:p>
        </w:tc>
      </w:tr>
      <w:tr w:rsidR="00824414" w:rsidRPr="001B5F11" w14:paraId="54515556" w14:textId="77777777" w:rsidTr="00824414">
        <w:trPr>
          <w:jc w:val="center"/>
        </w:trPr>
        <w:tc>
          <w:tcPr>
            <w:tcW w:w="2355" w:type="dxa"/>
            <w:vMerge/>
          </w:tcPr>
          <w:p w14:paraId="5879CC31" w14:textId="77777777" w:rsidR="00824414" w:rsidRPr="001B5F11" w:rsidRDefault="00824414" w:rsidP="00D80682">
            <w:pPr>
              <w:rPr>
                <w:rFonts w:cs="Arial"/>
                <w:sz w:val="18"/>
                <w:szCs w:val="18"/>
              </w:rPr>
            </w:pPr>
          </w:p>
        </w:tc>
        <w:tc>
          <w:tcPr>
            <w:tcW w:w="5105" w:type="dxa"/>
            <w:tcBorders>
              <w:bottom w:val="single" w:sz="4" w:space="0" w:color="auto"/>
            </w:tcBorders>
            <w:shd w:val="clear" w:color="auto" w:fill="FFFFFF" w:themeFill="background1"/>
          </w:tcPr>
          <w:p w14:paraId="539B6385"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7.3 Evidence of completed and approved Data Protection Impact Assessment (DPIA) for each data sharing purpose</w:t>
            </w:r>
          </w:p>
        </w:tc>
        <w:tc>
          <w:tcPr>
            <w:tcW w:w="2407" w:type="dxa"/>
            <w:tcBorders>
              <w:bottom w:val="single" w:sz="4" w:space="0" w:color="auto"/>
            </w:tcBorders>
            <w:shd w:val="clear" w:color="auto" w:fill="FFFFFF" w:themeFill="background1"/>
          </w:tcPr>
          <w:p w14:paraId="0B45B87E" w14:textId="77777777" w:rsidR="00824414" w:rsidRPr="006D376B" w:rsidRDefault="00824414" w:rsidP="00D80682">
            <w:pPr>
              <w:pStyle w:val="PlainText"/>
              <w:rPr>
                <w:rFonts w:ascii="Arial" w:hAnsi="Arial" w:cs="Arial"/>
                <w:color w:val="000000" w:themeColor="text1"/>
                <w:sz w:val="18"/>
                <w:szCs w:val="18"/>
              </w:rPr>
            </w:pPr>
            <w:r w:rsidRPr="006D376B">
              <w:rPr>
                <w:rFonts w:ascii="Arial" w:hAnsi="Arial" w:cs="Arial"/>
                <w:sz w:val="18"/>
                <w:szCs w:val="18"/>
              </w:rPr>
              <w:t>NB. This evidence (DPIA) relates to three checkpoints: 2.5, 7.3, 9.1</w:t>
            </w:r>
          </w:p>
        </w:tc>
        <w:tc>
          <w:tcPr>
            <w:tcW w:w="2268" w:type="dxa"/>
            <w:tcBorders>
              <w:bottom w:val="single" w:sz="4" w:space="0" w:color="auto"/>
            </w:tcBorders>
            <w:shd w:val="clear" w:color="auto" w:fill="FFFFFF" w:themeFill="background1"/>
          </w:tcPr>
          <w:p w14:paraId="0CC35EB7" w14:textId="77777777" w:rsidR="00824414" w:rsidRPr="001B5F11" w:rsidRDefault="00824414" w:rsidP="00D80682">
            <w:pPr>
              <w:rPr>
                <w:rFonts w:cs="Arial"/>
                <w:sz w:val="18"/>
                <w:szCs w:val="18"/>
              </w:rPr>
            </w:pPr>
          </w:p>
        </w:tc>
        <w:tc>
          <w:tcPr>
            <w:tcW w:w="3174" w:type="dxa"/>
            <w:tcBorders>
              <w:bottom w:val="single" w:sz="4" w:space="0" w:color="auto"/>
            </w:tcBorders>
            <w:shd w:val="clear" w:color="auto" w:fill="FFFFFF" w:themeFill="background1"/>
          </w:tcPr>
          <w:p w14:paraId="3E155B03" w14:textId="77777777" w:rsidR="00824414" w:rsidRPr="001B5F11" w:rsidRDefault="00824414" w:rsidP="00D80682">
            <w:pPr>
              <w:rPr>
                <w:rFonts w:cs="Arial"/>
                <w:sz w:val="18"/>
                <w:szCs w:val="18"/>
              </w:rPr>
            </w:pPr>
          </w:p>
        </w:tc>
      </w:tr>
      <w:tr w:rsidR="00824414" w:rsidRPr="001B5F11" w14:paraId="1DFA54E6" w14:textId="77777777" w:rsidTr="00824414">
        <w:trPr>
          <w:jc w:val="center"/>
        </w:trPr>
        <w:tc>
          <w:tcPr>
            <w:tcW w:w="2355" w:type="dxa"/>
            <w:vMerge/>
          </w:tcPr>
          <w:p w14:paraId="4F439683" w14:textId="77777777" w:rsidR="00824414" w:rsidRPr="001B5F11" w:rsidRDefault="00824414" w:rsidP="00D80682">
            <w:pPr>
              <w:rPr>
                <w:rFonts w:cs="Arial"/>
                <w:sz w:val="18"/>
                <w:szCs w:val="18"/>
              </w:rPr>
            </w:pPr>
          </w:p>
        </w:tc>
        <w:tc>
          <w:tcPr>
            <w:tcW w:w="5105" w:type="dxa"/>
            <w:shd w:val="clear" w:color="auto" w:fill="FFFFFF" w:themeFill="background1"/>
          </w:tcPr>
          <w:p w14:paraId="6EF20A5C"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7.4 Data Sharing Agreement (DSA)</w:t>
            </w:r>
          </w:p>
        </w:tc>
        <w:tc>
          <w:tcPr>
            <w:tcW w:w="2407" w:type="dxa"/>
            <w:shd w:val="clear" w:color="auto" w:fill="FFFFFF" w:themeFill="background1"/>
          </w:tcPr>
          <w:p w14:paraId="56846567" w14:textId="77777777" w:rsidR="00824414" w:rsidRPr="006D376B" w:rsidRDefault="00824414" w:rsidP="00D80682">
            <w:pPr>
              <w:rPr>
                <w:rFonts w:cs="Arial"/>
                <w:color w:val="000000" w:themeColor="text1"/>
                <w:sz w:val="18"/>
                <w:szCs w:val="18"/>
              </w:rPr>
            </w:pPr>
            <w:r w:rsidRPr="006D376B">
              <w:rPr>
                <w:rFonts w:cs="Arial"/>
                <w:sz w:val="18"/>
                <w:szCs w:val="18"/>
              </w:rPr>
              <w:t>NB. The evidence (DSA) relates to two checkpoints: 4.1, 7.4</w:t>
            </w:r>
          </w:p>
        </w:tc>
        <w:tc>
          <w:tcPr>
            <w:tcW w:w="2268" w:type="dxa"/>
            <w:shd w:val="clear" w:color="auto" w:fill="FFFFFF" w:themeFill="background1"/>
          </w:tcPr>
          <w:p w14:paraId="30331588" w14:textId="77777777" w:rsidR="00824414" w:rsidRPr="001B5F11" w:rsidRDefault="00824414" w:rsidP="00D80682">
            <w:pPr>
              <w:rPr>
                <w:rFonts w:cs="Arial"/>
                <w:sz w:val="18"/>
                <w:szCs w:val="18"/>
              </w:rPr>
            </w:pPr>
          </w:p>
        </w:tc>
        <w:tc>
          <w:tcPr>
            <w:tcW w:w="3174" w:type="dxa"/>
            <w:shd w:val="clear" w:color="auto" w:fill="FFFFFF" w:themeFill="background1"/>
          </w:tcPr>
          <w:p w14:paraId="32CDD893" w14:textId="77777777" w:rsidR="00824414" w:rsidRPr="001B5F11" w:rsidRDefault="00824414" w:rsidP="00D80682">
            <w:pPr>
              <w:rPr>
                <w:rFonts w:cs="Arial"/>
                <w:b/>
                <w:sz w:val="18"/>
                <w:szCs w:val="18"/>
              </w:rPr>
            </w:pPr>
          </w:p>
        </w:tc>
      </w:tr>
      <w:tr w:rsidR="00824414" w:rsidRPr="001B5F11" w14:paraId="67BD0EA3" w14:textId="77777777" w:rsidTr="00824414">
        <w:trPr>
          <w:jc w:val="center"/>
        </w:trPr>
        <w:tc>
          <w:tcPr>
            <w:tcW w:w="2355" w:type="dxa"/>
            <w:vMerge/>
          </w:tcPr>
          <w:p w14:paraId="2797B8B3" w14:textId="77777777" w:rsidR="00824414" w:rsidRPr="001B5F11" w:rsidRDefault="00824414" w:rsidP="00D80682">
            <w:pPr>
              <w:rPr>
                <w:rFonts w:cs="Arial"/>
                <w:sz w:val="18"/>
                <w:szCs w:val="18"/>
              </w:rPr>
            </w:pPr>
          </w:p>
        </w:tc>
        <w:tc>
          <w:tcPr>
            <w:tcW w:w="5105" w:type="dxa"/>
          </w:tcPr>
          <w:p w14:paraId="029566E6"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7.5 Evidence of compliance with Records Management Code of Practice for Health and Social Care 2019</w:t>
            </w:r>
          </w:p>
        </w:tc>
        <w:tc>
          <w:tcPr>
            <w:tcW w:w="2407" w:type="dxa"/>
          </w:tcPr>
          <w:p w14:paraId="38993E0D" w14:textId="77777777" w:rsidR="00824414" w:rsidRPr="006D376B" w:rsidRDefault="00824414" w:rsidP="00D80682">
            <w:pPr>
              <w:autoSpaceDN w:val="0"/>
              <w:spacing w:line="276" w:lineRule="auto"/>
              <w:rPr>
                <w:rFonts w:cs="Arial"/>
                <w:color w:val="000000" w:themeColor="text1"/>
                <w:sz w:val="18"/>
                <w:szCs w:val="18"/>
              </w:rPr>
            </w:pPr>
            <w:r>
              <w:rPr>
                <w:rFonts w:cs="Arial"/>
                <w:color w:val="000000" w:themeColor="text1"/>
                <w:sz w:val="18"/>
                <w:szCs w:val="18"/>
              </w:rPr>
              <w:t>N/A</w:t>
            </w:r>
          </w:p>
        </w:tc>
        <w:tc>
          <w:tcPr>
            <w:tcW w:w="2268" w:type="dxa"/>
          </w:tcPr>
          <w:p w14:paraId="69EE50EA" w14:textId="77777777" w:rsidR="00824414" w:rsidRPr="001B5F11" w:rsidRDefault="00824414" w:rsidP="00D80682">
            <w:pPr>
              <w:rPr>
                <w:rFonts w:cs="Arial"/>
                <w:sz w:val="18"/>
                <w:szCs w:val="18"/>
              </w:rPr>
            </w:pPr>
          </w:p>
        </w:tc>
        <w:tc>
          <w:tcPr>
            <w:tcW w:w="3174" w:type="dxa"/>
          </w:tcPr>
          <w:p w14:paraId="76A309D4" w14:textId="77777777" w:rsidR="00824414" w:rsidRPr="001B5F11" w:rsidRDefault="00824414" w:rsidP="00D80682">
            <w:pPr>
              <w:rPr>
                <w:rFonts w:cs="Arial"/>
                <w:sz w:val="18"/>
                <w:szCs w:val="18"/>
              </w:rPr>
            </w:pPr>
          </w:p>
        </w:tc>
      </w:tr>
      <w:tr w:rsidR="00824414" w:rsidRPr="001B5F11" w14:paraId="3189C088" w14:textId="77777777" w:rsidTr="00824414">
        <w:trPr>
          <w:jc w:val="center"/>
        </w:trPr>
        <w:tc>
          <w:tcPr>
            <w:tcW w:w="2355" w:type="dxa"/>
            <w:vMerge/>
          </w:tcPr>
          <w:p w14:paraId="5AE77089" w14:textId="77777777" w:rsidR="00824414" w:rsidRPr="001B5F11" w:rsidRDefault="00824414" w:rsidP="00D80682">
            <w:pPr>
              <w:rPr>
                <w:rFonts w:cs="Arial"/>
                <w:sz w:val="18"/>
                <w:szCs w:val="18"/>
              </w:rPr>
            </w:pPr>
          </w:p>
        </w:tc>
        <w:tc>
          <w:tcPr>
            <w:tcW w:w="5105" w:type="dxa"/>
            <w:tcBorders>
              <w:bottom w:val="single" w:sz="4" w:space="0" w:color="auto"/>
            </w:tcBorders>
          </w:tcPr>
          <w:p w14:paraId="7BD51221"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7.6 Policies and Audit</w:t>
            </w:r>
          </w:p>
        </w:tc>
        <w:tc>
          <w:tcPr>
            <w:tcW w:w="2407" w:type="dxa"/>
            <w:tcBorders>
              <w:bottom w:val="single" w:sz="4" w:space="0" w:color="auto"/>
            </w:tcBorders>
          </w:tcPr>
          <w:p w14:paraId="38257E70" w14:textId="77777777" w:rsidR="00824414" w:rsidRPr="006D376B" w:rsidRDefault="00824414" w:rsidP="00D80682">
            <w:pPr>
              <w:autoSpaceDN w:val="0"/>
              <w:spacing w:line="276" w:lineRule="auto"/>
              <w:rPr>
                <w:rFonts w:cs="Arial"/>
                <w:color w:val="000000" w:themeColor="text1"/>
                <w:sz w:val="18"/>
                <w:szCs w:val="18"/>
              </w:rPr>
            </w:pPr>
            <w:r>
              <w:rPr>
                <w:rFonts w:cs="Arial"/>
                <w:color w:val="000000" w:themeColor="text1"/>
                <w:sz w:val="18"/>
                <w:szCs w:val="18"/>
              </w:rPr>
              <w:t>N/A</w:t>
            </w:r>
          </w:p>
        </w:tc>
        <w:tc>
          <w:tcPr>
            <w:tcW w:w="2268" w:type="dxa"/>
            <w:tcBorders>
              <w:bottom w:val="single" w:sz="4" w:space="0" w:color="auto"/>
            </w:tcBorders>
          </w:tcPr>
          <w:p w14:paraId="117071AC" w14:textId="77777777" w:rsidR="00824414" w:rsidRPr="001B5F11" w:rsidRDefault="00824414" w:rsidP="00D80682">
            <w:pPr>
              <w:rPr>
                <w:rFonts w:cs="Arial"/>
                <w:sz w:val="18"/>
                <w:szCs w:val="18"/>
              </w:rPr>
            </w:pPr>
          </w:p>
        </w:tc>
        <w:tc>
          <w:tcPr>
            <w:tcW w:w="3174" w:type="dxa"/>
            <w:tcBorders>
              <w:bottom w:val="single" w:sz="4" w:space="0" w:color="auto"/>
            </w:tcBorders>
          </w:tcPr>
          <w:p w14:paraId="21C584F0" w14:textId="77777777" w:rsidR="00824414" w:rsidRPr="001B5F11" w:rsidRDefault="00824414" w:rsidP="00D80682">
            <w:pPr>
              <w:rPr>
                <w:rFonts w:cs="Arial"/>
                <w:sz w:val="18"/>
                <w:szCs w:val="18"/>
              </w:rPr>
            </w:pPr>
          </w:p>
        </w:tc>
      </w:tr>
      <w:tr w:rsidR="00824414" w:rsidRPr="001B5F11" w14:paraId="0A22ECAA" w14:textId="77777777" w:rsidTr="00824414">
        <w:trPr>
          <w:jc w:val="center"/>
        </w:trPr>
        <w:tc>
          <w:tcPr>
            <w:tcW w:w="2355" w:type="dxa"/>
            <w:vMerge/>
            <w:tcBorders>
              <w:bottom w:val="single" w:sz="4" w:space="0" w:color="auto"/>
            </w:tcBorders>
          </w:tcPr>
          <w:p w14:paraId="0CABF6FA" w14:textId="77777777" w:rsidR="00824414" w:rsidRPr="001B5F11" w:rsidRDefault="00824414" w:rsidP="00D80682">
            <w:pPr>
              <w:rPr>
                <w:rFonts w:cs="Arial"/>
                <w:sz w:val="18"/>
                <w:szCs w:val="18"/>
              </w:rPr>
            </w:pPr>
          </w:p>
        </w:tc>
        <w:tc>
          <w:tcPr>
            <w:tcW w:w="5105" w:type="dxa"/>
            <w:tcBorders>
              <w:bottom w:val="single" w:sz="4" w:space="0" w:color="auto"/>
            </w:tcBorders>
            <w:shd w:val="clear" w:color="auto" w:fill="FFFFFF" w:themeFill="background1"/>
          </w:tcPr>
          <w:p w14:paraId="3C2E98EE" w14:textId="77777777" w:rsidR="00824414" w:rsidRPr="001B5F11" w:rsidRDefault="00824414" w:rsidP="00D80682">
            <w:pPr>
              <w:autoSpaceDN w:val="0"/>
              <w:spacing w:line="276" w:lineRule="auto"/>
              <w:rPr>
                <w:rFonts w:cs="Arial"/>
                <w:color w:val="000000" w:themeColor="text1"/>
                <w:sz w:val="18"/>
                <w:szCs w:val="18"/>
              </w:rPr>
            </w:pPr>
            <w:r w:rsidRPr="001B5F11">
              <w:rPr>
                <w:rFonts w:cs="Arial"/>
                <w:color w:val="000000" w:themeColor="text1"/>
                <w:sz w:val="18"/>
                <w:szCs w:val="18"/>
              </w:rPr>
              <w:t>7.7 Evidence of effective Role Based Access Control (RBAC)</w:t>
            </w:r>
          </w:p>
        </w:tc>
        <w:tc>
          <w:tcPr>
            <w:tcW w:w="2407" w:type="dxa"/>
            <w:tcBorders>
              <w:bottom w:val="single" w:sz="4" w:space="0" w:color="auto"/>
            </w:tcBorders>
            <w:shd w:val="clear" w:color="auto" w:fill="FFFFFF" w:themeFill="background1"/>
          </w:tcPr>
          <w:p w14:paraId="62ADC092" w14:textId="77777777" w:rsidR="00824414" w:rsidRPr="006D376B" w:rsidRDefault="00824414" w:rsidP="00D80682">
            <w:pPr>
              <w:rPr>
                <w:rFonts w:cs="Arial"/>
                <w:color w:val="000000" w:themeColor="text1"/>
                <w:sz w:val="18"/>
                <w:szCs w:val="18"/>
              </w:rPr>
            </w:pPr>
            <w:r w:rsidRPr="006D376B">
              <w:rPr>
                <w:rFonts w:cs="Arial"/>
                <w:sz w:val="18"/>
                <w:szCs w:val="18"/>
              </w:rPr>
              <w:t>NB. The evidence (RBAC) relates to two checkpoints: 2.4 ,  7.7</w:t>
            </w:r>
          </w:p>
        </w:tc>
        <w:tc>
          <w:tcPr>
            <w:tcW w:w="2268" w:type="dxa"/>
            <w:tcBorders>
              <w:bottom w:val="single" w:sz="4" w:space="0" w:color="auto"/>
            </w:tcBorders>
            <w:shd w:val="clear" w:color="auto" w:fill="FFFFFF" w:themeFill="background1"/>
          </w:tcPr>
          <w:p w14:paraId="3EC18046" w14:textId="77777777" w:rsidR="00824414" w:rsidRPr="001B5F11" w:rsidRDefault="00824414" w:rsidP="00D80682">
            <w:pPr>
              <w:rPr>
                <w:rFonts w:cs="Arial"/>
                <w:sz w:val="18"/>
                <w:szCs w:val="18"/>
              </w:rPr>
            </w:pPr>
          </w:p>
        </w:tc>
        <w:tc>
          <w:tcPr>
            <w:tcW w:w="3174" w:type="dxa"/>
            <w:tcBorders>
              <w:bottom w:val="single" w:sz="4" w:space="0" w:color="auto"/>
            </w:tcBorders>
            <w:shd w:val="clear" w:color="auto" w:fill="FFFFFF" w:themeFill="background1"/>
          </w:tcPr>
          <w:p w14:paraId="2062D21A" w14:textId="77777777" w:rsidR="00824414" w:rsidRPr="001B5F11" w:rsidRDefault="00824414" w:rsidP="00D80682">
            <w:pPr>
              <w:rPr>
                <w:rFonts w:cs="Arial"/>
                <w:b/>
                <w:sz w:val="18"/>
                <w:szCs w:val="18"/>
              </w:rPr>
            </w:pPr>
          </w:p>
        </w:tc>
      </w:tr>
      <w:tr w:rsidR="00824414" w:rsidRPr="001B5F11" w14:paraId="5CB69657" w14:textId="77777777" w:rsidTr="00824414">
        <w:trPr>
          <w:jc w:val="center"/>
        </w:trPr>
        <w:tc>
          <w:tcPr>
            <w:tcW w:w="2355" w:type="dxa"/>
            <w:vMerge w:val="restart"/>
          </w:tcPr>
          <w:p w14:paraId="78DDF897" w14:textId="77777777" w:rsidR="00824414" w:rsidRPr="001B5F11" w:rsidRDefault="00824414" w:rsidP="00D80682">
            <w:pPr>
              <w:spacing w:line="276" w:lineRule="auto"/>
              <w:rPr>
                <w:rFonts w:cs="Arial"/>
                <w:b/>
                <w:sz w:val="18"/>
                <w:szCs w:val="18"/>
              </w:rPr>
            </w:pPr>
            <w:r w:rsidRPr="001B5F11">
              <w:rPr>
                <w:rFonts w:cs="Arial"/>
                <w:b/>
                <w:sz w:val="18"/>
                <w:szCs w:val="18"/>
              </w:rPr>
              <w:t>8.0 Individual Rights</w:t>
            </w:r>
          </w:p>
          <w:p w14:paraId="7696B9F4" w14:textId="77777777" w:rsidR="00824414" w:rsidRPr="001B5F11" w:rsidRDefault="00824414" w:rsidP="00D80682">
            <w:pPr>
              <w:rPr>
                <w:rFonts w:cs="Arial"/>
                <w:sz w:val="18"/>
                <w:szCs w:val="18"/>
              </w:rPr>
            </w:pPr>
            <w:r w:rsidRPr="001B5F11">
              <w:rPr>
                <w:rFonts w:cs="Arial"/>
                <w:sz w:val="18"/>
                <w:szCs w:val="18"/>
              </w:rPr>
              <w:t>LHCRs need to be clear on which individual rights apply and have processes in place to ensure an individual can enact those rights</w:t>
            </w:r>
          </w:p>
        </w:tc>
        <w:tc>
          <w:tcPr>
            <w:tcW w:w="5105" w:type="dxa"/>
          </w:tcPr>
          <w:p w14:paraId="0F68C4A6" w14:textId="77777777" w:rsidR="00824414" w:rsidRPr="001B5F11" w:rsidRDefault="00824414" w:rsidP="00D80682">
            <w:pPr>
              <w:spacing w:line="276" w:lineRule="auto"/>
              <w:rPr>
                <w:rFonts w:cs="Arial"/>
                <w:sz w:val="18"/>
                <w:szCs w:val="18"/>
              </w:rPr>
            </w:pPr>
            <w:r w:rsidRPr="001B5F11">
              <w:rPr>
                <w:rFonts w:cs="Arial"/>
                <w:sz w:val="18"/>
                <w:szCs w:val="18"/>
              </w:rPr>
              <w:t>8.1 Evidence of process in place for complying with individual rights where required.ie. rectification, objection, subject access request</w:t>
            </w:r>
          </w:p>
        </w:tc>
        <w:tc>
          <w:tcPr>
            <w:tcW w:w="2407" w:type="dxa"/>
          </w:tcPr>
          <w:p w14:paraId="414CC349" w14:textId="77777777" w:rsidR="00824414" w:rsidRPr="001B5F11" w:rsidRDefault="00824414" w:rsidP="00D80682">
            <w:pPr>
              <w:spacing w:line="276" w:lineRule="auto"/>
              <w:rPr>
                <w:rFonts w:cs="Arial"/>
                <w:sz w:val="18"/>
                <w:szCs w:val="18"/>
              </w:rPr>
            </w:pPr>
            <w:r>
              <w:rPr>
                <w:rFonts w:cs="Arial"/>
                <w:sz w:val="18"/>
                <w:szCs w:val="18"/>
              </w:rPr>
              <w:t>N/A</w:t>
            </w:r>
          </w:p>
        </w:tc>
        <w:tc>
          <w:tcPr>
            <w:tcW w:w="2268" w:type="dxa"/>
          </w:tcPr>
          <w:p w14:paraId="38EC9D17" w14:textId="77777777" w:rsidR="00824414" w:rsidRPr="001B5F11" w:rsidRDefault="00824414" w:rsidP="00D80682">
            <w:pPr>
              <w:rPr>
                <w:rFonts w:cs="Arial"/>
                <w:sz w:val="18"/>
                <w:szCs w:val="18"/>
              </w:rPr>
            </w:pPr>
          </w:p>
        </w:tc>
        <w:tc>
          <w:tcPr>
            <w:tcW w:w="3174" w:type="dxa"/>
          </w:tcPr>
          <w:p w14:paraId="68533F77" w14:textId="77777777" w:rsidR="00824414" w:rsidRPr="001B5F11" w:rsidRDefault="00824414" w:rsidP="00D80682">
            <w:pPr>
              <w:rPr>
                <w:rFonts w:cs="Arial"/>
                <w:sz w:val="18"/>
                <w:szCs w:val="18"/>
              </w:rPr>
            </w:pPr>
          </w:p>
        </w:tc>
      </w:tr>
      <w:tr w:rsidR="00824414" w:rsidRPr="001B5F11" w14:paraId="334EB4CF" w14:textId="77777777" w:rsidTr="00824414">
        <w:trPr>
          <w:jc w:val="center"/>
        </w:trPr>
        <w:tc>
          <w:tcPr>
            <w:tcW w:w="2355" w:type="dxa"/>
            <w:vMerge/>
          </w:tcPr>
          <w:p w14:paraId="63B266D6" w14:textId="77777777" w:rsidR="00824414" w:rsidRPr="001B5F11" w:rsidRDefault="00824414" w:rsidP="00D80682">
            <w:pPr>
              <w:rPr>
                <w:rFonts w:cs="Arial"/>
                <w:sz w:val="18"/>
                <w:szCs w:val="18"/>
              </w:rPr>
            </w:pPr>
          </w:p>
        </w:tc>
        <w:tc>
          <w:tcPr>
            <w:tcW w:w="5105" w:type="dxa"/>
            <w:tcBorders>
              <w:bottom w:val="single" w:sz="4" w:space="0" w:color="auto"/>
            </w:tcBorders>
          </w:tcPr>
          <w:p w14:paraId="4E201AC6" w14:textId="77777777" w:rsidR="00824414" w:rsidRPr="001B5F11" w:rsidRDefault="00824414" w:rsidP="00D80682">
            <w:pPr>
              <w:spacing w:line="276" w:lineRule="auto"/>
              <w:rPr>
                <w:rFonts w:cs="Arial"/>
                <w:sz w:val="18"/>
                <w:szCs w:val="18"/>
              </w:rPr>
            </w:pPr>
            <w:r w:rsidRPr="001B5F11">
              <w:rPr>
                <w:rFonts w:cs="Arial"/>
                <w:sz w:val="18"/>
                <w:szCs w:val="18"/>
              </w:rPr>
              <w:t>8.2</w:t>
            </w:r>
            <w:r>
              <w:rPr>
                <w:rFonts w:cs="Arial"/>
                <w:sz w:val="18"/>
                <w:szCs w:val="18"/>
              </w:rPr>
              <w:t xml:space="preserve"> </w:t>
            </w:r>
            <w:r w:rsidRPr="001B5F11">
              <w:rPr>
                <w:rFonts w:cs="Arial"/>
                <w:sz w:val="18"/>
                <w:szCs w:val="18"/>
              </w:rPr>
              <w:t>Evidence of how patients can exercise individual rights in transparency documentation</w:t>
            </w:r>
          </w:p>
        </w:tc>
        <w:tc>
          <w:tcPr>
            <w:tcW w:w="2407" w:type="dxa"/>
            <w:tcBorders>
              <w:bottom w:val="single" w:sz="4" w:space="0" w:color="auto"/>
            </w:tcBorders>
          </w:tcPr>
          <w:p w14:paraId="40B00182" w14:textId="77777777" w:rsidR="00824414" w:rsidRPr="006D376B" w:rsidRDefault="00824414" w:rsidP="00D80682">
            <w:pPr>
              <w:spacing w:line="276" w:lineRule="auto"/>
              <w:rPr>
                <w:rFonts w:cs="Arial"/>
                <w:sz w:val="18"/>
                <w:szCs w:val="18"/>
              </w:rPr>
            </w:pPr>
            <w:r>
              <w:rPr>
                <w:rFonts w:cs="Arial"/>
                <w:sz w:val="18"/>
                <w:szCs w:val="18"/>
              </w:rPr>
              <w:t>N/A</w:t>
            </w:r>
          </w:p>
        </w:tc>
        <w:tc>
          <w:tcPr>
            <w:tcW w:w="2268" w:type="dxa"/>
            <w:tcBorders>
              <w:bottom w:val="single" w:sz="4" w:space="0" w:color="auto"/>
            </w:tcBorders>
          </w:tcPr>
          <w:p w14:paraId="3B36C16D" w14:textId="77777777" w:rsidR="00824414" w:rsidRPr="001B5F11" w:rsidRDefault="00824414" w:rsidP="00D80682">
            <w:pPr>
              <w:rPr>
                <w:rFonts w:cs="Arial"/>
                <w:sz w:val="18"/>
                <w:szCs w:val="18"/>
              </w:rPr>
            </w:pPr>
          </w:p>
        </w:tc>
        <w:tc>
          <w:tcPr>
            <w:tcW w:w="3174" w:type="dxa"/>
            <w:tcBorders>
              <w:bottom w:val="single" w:sz="4" w:space="0" w:color="auto"/>
            </w:tcBorders>
          </w:tcPr>
          <w:p w14:paraId="3EA74D56" w14:textId="77777777" w:rsidR="00824414" w:rsidRPr="001B5F11" w:rsidRDefault="00824414" w:rsidP="00D80682">
            <w:pPr>
              <w:rPr>
                <w:rFonts w:cs="Arial"/>
                <w:sz w:val="18"/>
                <w:szCs w:val="18"/>
              </w:rPr>
            </w:pPr>
          </w:p>
        </w:tc>
      </w:tr>
      <w:tr w:rsidR="00824414" w:rsidRPr="001B5F11" w14:paraId="4AFC1DAC" w14:textId="77777777" w:rsidTr="00824414">
        <w:trPr>
          <w:jc w:val="center"/>
        </w:trPr>
        <w:tc>
          <w:tcPr>
            <w:tcW w:w="2355" w:type="dxa"/>
            <w:vMerge/>
            <w:tcBorders>
              <w:bottom w:val="single" w:sz="4" w:space="0" w:color="auto"/>
            </w:tcBorders>
          </w:tcPr>
          <w:p w14:paraId="6D7B377F" w14:textId="77777777" w:rsidR="00824414" w:rsidRPr="001B5F11" w:rsidRDefault="00824414" w:rsidP="00D80682">
            <w:pPr>
              <w:rPr>
                <w:rFonts w:cs="Arial"/>
                <w:sz w:val="18"/>
                <w:szCs w:val="18"/>
              </w:rPr>
            </w:pPr>
          </w:p>
        </w:tc>
        <w:tc>
          <w:tcPr>
            <w:tcW w:w="5105" w:type="dxa"/>
            <w:tcBorders>
              <w:bottom w:val="single" w:sz="4" w:space="0" w:color="auto"/>
            </w:tcBorders>
            <w:shd w:val="clear" w:color="auto" w:fill="FFFFFF" w:themeFill="background1"/>
          </w:tcPr>
          <w:p w14:paraId="2B0CFC39" w14:textId="77777777" w:rsidR="00824414" w:rsidRPr="001B5F11" w:rsidRDefault="00824414" w:rsidP="00B914EE">
            <w:pPr>
              <w:pStyle w:val="ListParagraph"/>
              <w:numPr>
                <w:ilvl w:val="1"/>
                <w:numId w:val="37"/>
              </w:numPr>
              <w:tabs>
                <w:tab w:val="clear" w:pos="4890"/>
              </w:tabs>
              <w:spacing w:before="0" w:after="0" w:line="276" w:lineRule="auto"/>
              <w:ind w:left="0"/>
              <w:jc w:val="left"/>
              <w:rPr>
                <w:rFonts w:ascii="Arial" w:hAnsi="Arial"/>
                <w:color w:val="0D0D0D" w:themeColor="text1" w:themeTint="F2"/>
                <w:sz w:val="18"/>
                <w:szCs w:val="18"/>
              </w:rPr>
            </w:pPr>
            <w:r>
              <w:rPr>
                <w:rFonts w:ascii="Arial" w:hAnsi="Arial"/>
                <w:color w:val="0D0D0D" w:themeColor="text1" w:themeTint="F2"/>
                <w:sz w:val="18"/>
                <w:szCs w:val="18"/>
              </w:rPr>
              <w:t xml:space="preserve">8.3 </w:t>
            </w:r>
            <w:r w:rsidRPr="001B5F11">
              <w:rPr>
                <w:rFonts w:ascii="Arial" w:hAnsi="Arial"/>
                <w:color w:val="0D0D0D" w:themeColor="text1" w:themeTint="F2"/>
                <w:sz w:val="18"/>
                <w:szCs w:val="18"/>
              </w:rPr>
              <w:t xml:space="preserve">Agreed approach to managing patient objections to share their data for individual care under the LHCR  </w:t>
            </w:r>
          </w:p>
        </w:tc>
        <w:tc>
          <w:tcPr>
            <w:tcW w:w="2407" w:type="dxa"/>
            <w:tcBorders>
              <w:bottom w:val="single" w:sz="4" w:space="0" w:color="auto"/>
            </w:tcBorders>
            <w:shd w:val="clear" w:color="auto" w:fill="FFFFFF" w:themeFill="background1"/>
          </w:tcPr>
          <w:p w14:paraId="2C34DE91" w14:textId="77777777" w:rsidR="00824414" w:rsidRPr="006D376B" w:rsidRDefault="00824414" w:rsidP="00D80682">
            <w:pPr>
              <w:rPr>
                <w:rFonts w:cs="Arial"/>
                <w:color w:val="0D0D0D" w:themeColor="text1" w:themeTint="F2"/>
                <w:sz w:val="18"/>
                <w:szCs w:val="18"/>
              </w:rPr>
            </w:pPr>
            <w:r w:rsidRPr="006D376B">
              <w:rPr>
                <w:rFonts w:cs="Arial"/>
                <w:sz w:val="18"/>
                <w:szCs w:val="18"/>
              </w:rPr>
              <w:t xml:space="preserve">NB. The evidence relates to two checkpoints: 2.3, 8.3 </w:t>
            </w:r>
          </w:p>
        </w:tc>
        <w:tc>
          <w:tcPr>
            <w:tcW w:w="2268" w:type="dxa"/>
            <w:tcBorders>
              <w:bottom w:val="single" w:sz="4" w:space="0" w:color="auto"/>
            </w:tcBorders>
            <w:shd w:val="clear" w:color="auto" w:fill="FFFFFF" w:themeFill="background1"/>
          </w:tcPr>
          <w:p w14:paraId="034B1B93" w14:textId="77777777" w:rsidR="00824414" w:rsidRPr="001B5F11" w:rsidRDefault="00824414" w:rsidP="00D80682">
            <w:pPr>
              <w:rPr>
                <w:rFonts w:cs="Arial"/>
                <w:sz w:val="18"/>
                <w:szCs w:val="18"/>
              </w:rPr>
            </w:pPr>
          </w:p>
        </w:tc>
        <w:tc>
          <w:tcPr>
            <w:tcW w:w="3174" w:type="dxa"/>
            <w:tcBorders>
              <w:bottom w:val="single" w:sz="4" w:space="0" w:color="auto"/>
            </w:tcBorders>
            <w:shd w:val="clear" w:color="auto" w:fill="FFFFFF" w:themeFill="background1"/>
          </w:tcPr>
          <w:p w14:paraId="736D8109" w14:textId="77777777" w:rsidR="00824414" w:rsidRPr="001B5F11" w:rsidRDefault="00824414" w:rsidP="00D80682">
            <w:pPr>
              <w:rPr>
                <w:rFonts w:cs="Arial"/>
                <w:b/>
                <w:sz w:val="18"/>
                <w:szCs w:val="18"/>
              </w:rPr>
            </w:pPr>
          </w:p>
        </w:tc>
      </w:tr>
      <w:tr w:rsidR="00824414" w:rsidRPr="001B5F11" w14:paraId="2122DE21" w14:textId="77777777" w:rsidTr="00824414">
        <w:trPr>
          <w:jc w:val="center"/>
        </w:trPr>
        <w:tc>
          <w:tcPr>
            <w:tcW w:w="2355" w:type="dxa"/>
            <w:vMerge w:val="restart"/>
          </w:tcPr>
          <w:p w14:paraId="450B3383" w14:textId="77777777" w:rsidR="00824414" w:rsidRPr="001B5F11" w:rsidRDefault="00824414" w:rsidP="00D80682">
            <w:pPr>
              <w:rPr>
                <w:rFonts w:cs="Arial"/>
                <w:b/>
                <w:sz w:val="18"/>
                <w:szCs w:val="18"/>
              </w:rPr>
            </w:pPr>
            <w:r w:rsidRPr="001B5F11">
              <w:rPr>
                <w:rFonts w:cs="Arial"/>
                <w:b/>
                <w:sz w:val="18"/>
                <w:szCs w:val="18"/>
              </w:rPr>
              <w:lastRenderedPageBreak/>
              <w:t>9.0 Demonstrating Accountability</w:t>
            </w:r>
          </w:p>
          <w:p w14:paraId="59C4153C" w14:textId="77777777" w:rsidR="00824414" w:rsidRPr="001B5F11" w:rsidRDefault="00824414" w:rsidP="00D80682">
            <w:pPr>
              <w:rPr>
                <w:rFonts w:cs="Arial"/>
                <w:sz w:val="18"/>
                <w:szCs w:val="18"/>
              </w:rPr>
            </w:pPr>
          </w:p>
          <w:p w14:paraId="526F872C" w14:textId="77777777" w:rsidR="00824414" w:rsidRPr="001B5F11" w:rsidRDefault="00824414" w:rsidP="00D80682">
            <w:pPr>
              <w:rPr>
                <w:rFonts w:cs="Arial"/>
                <w:sz w:val="18"/>
                <w:szCs w:val="18"/>
              </w:rPr>
            </w:pPr>
            <w:r w:rsidRPr="001B5F11">
              <w:rPr>
                <w:rFonts w:cs="Arial"/>
                <w:sz w:val="18"/>
                <w:szCs w:val="18"/>
              </w:rPr>
              <w:t>Each LHCR to ensure that DPIA is undertaken to identify any risks to the processing of personal data</w:t>
            </w:r>
          </w:p>
        </w:tc>
        <w:tc>
          <w:tcPr>
            <w:tcW w:w="5105" w:type="dxa"/>
          </w:tcPr>
          <w:p w14:paraId="1BA17DCD" w14:textId="77777777" w:rsidR="00824414" w:rsidRPr="001B5F11" w:rsidRDefault="00824414" w:rsidP="00D80682">
            <w:pPr>
              <w:autoSpaceDN w:val="0"/>
              <w:spacing w:line="276" w:lineRule="auto"/>
              <w:rPr>
                <w:rFonts w:cs="Arial"/>
                <w:color w:val="0D0D0D" w:themeColor="text1" w:themeTint="F2"/>
                <w:sz w:val="18"/>
                <w:szCs w:val="18"/>
              </w:rPr>
            </w:pPr>
            <w:r w:rsidRPr="001B5F11">
              <w:rPr>
                <w:rFonts w:cs="Arial"/>
                <w:color w:val="0D0D0D" w:themeColor="text1" w:themeTint="F2"/>
                <w:sz w:val="18"/>
                <w:szCs w:val="18"/>
              </w:rPr>
              <w:t>9.1 Evidence of completed and approved DPIA for each data sharing purpose</w:t>
            </w:r>
          </w:p>
          <w:p w14:paraId="1D63DAA5" w14:textId="77777777" w:rsidR="00824414" w:rsidRPr="001B5F11" w:rsidRDefault="00824414" w:rsidP="00D80682">
            <w:pPr>
              <w:rPr>
                <w:rFonts w:cs="Arial"/>
                <w:color w:val="0D0D0D" w:themeColor="text1" w:themeTint="F2"/>
                <w:sz w:val="18"/>
                <w:szCs w:val="18"/>
              </w:rPr>
            </w:pPr>
          </w:p>
        </w:tc>
        <w:tc>
          <w:tcPr>
            <w:tcW w:w="2407" w:type="dxa"/>
          </w:tcPr>
          <w:p w14:paraId="1AC7B61F" w14:textId="77777777" w:rsidR="00824414" w:rsidRPr="006D376B" w:rsidRDefault="00824414" w:rsidP="00D80682">
            <w:pPr>
              <w:pStyle w:val="PlainText"/>
              <w:rPr>
                <w:rFonts w:ascii="Arial" w:hAnsi="Arial" w:cs="Arial"/>
                <w:color w:val="0D0D0D" w:themeColor="text1" w:themeTint="F2"/>
                <w:sz w:val="18"/>
                <w:szCs w:val="18"/>
              </w:rPr>
            </w:pPr>
            <w:r w:rsidRPr="006D376B">
              <w:rPr>
                <w:rFonts w:ascii="Arial" w:hAnsi="Arial" w:cs="Arial"/>
                <w:sz w:val="18"/>
                <w:szCs w:val="18"/>
              </w:rPr>
              <w:t>NB. This evidence (DPIA) relates to three checkpoints: 2.5, 7.3, 9.1</w:t>
            </w:r>
          </w:p>
        </w:tc>
        <w:tc>
          <w:tcPr>
            <w:tcW w:w="2268" w:type="dxa"/>
          </w:tcPr>
          <w:p w14:paraId="7AA2965B" w14:textId="77777777" w:rsidR="00824414" w:rsidRPr="001B5F11" w:rsidRDefault="00824414" w:rsidP="00D80682">
            <w:pPr>
              <w:rPr>
                <w:rFonts w:cs="Arial"/>
                <w:sz w:val="18"/>
                <w:szCs w:val="18"/>
              </w:rPr>
            </w:pPr>
          </w:p>
        </w:tc>
        <w:tc>
          <w:tcPr>
            <w:tcW w:w="3174" w:type="dxa"/>
          </w:tcPr>
          <w:p w14:paraId="4A6F0BC2" w14:textId="77777777" w:rsidR="00824414" w:rsidRPr="001B5F11" w:rsidRDefault="00824414" w:rsidP="00D80682">
            <w:pPr>
              <w:rPr>
                <w:rFonts w:cs="Arial"/>
                <w:sz w:val="18"/>
                <w:szCs w:val="18"/>
              </w:rPr>
            </w:pPr>
          </w:p>
        </w:tc>
      </w:tr>
      <w:tr w:rsidR="00824414" w:rsidRPr="001B5F11" w14:paraId="5F2497A8" w14:textId="77777777" w:rsidTr="00824414">
        <w:trPr>
          <w:jc w:val="center"/>
        </w:trPr>
        <w:tc>
          <w:tcPr>
            <w:tcW w:w="2355" w:type="dxa"/>
            <w:vMerge/>
          </w:tcPr>
          <w:p w14:paraId="51B06ADC" w14:textId="77777777" w:rsidR="00824414" w:rsidRPr="001B5F11" w:rsidRDefault="00824414" w:rsidP="00D80682">
            <w:pPr>
              <w:rPr>
                <w:rFonts w:cs="Arial"/>
                <w:sz w:val="18"/>
                <w:szCs w:val="18"/>
              </w:rPr>
            </w:pPr>
          </w:p>
        </w:tc>
        <w:tc>
          <w:tcPr>
            <w:tcW w:w="5105" w:type="dxa"/>
          </w:tcPr>
          <w:p w14:paraId="78004FB6" w14:textId="77777777" w:rsidR="00824414" w:rsidRPr="001B5F11" w:rsidRDefault="00824414" w:rsidP="00D80682">
            <w:pPr>
              <w:autoSpaceDN w:val="0"/>
              <w:spacing w:line="276" w:lineRule="auto"/>
              <w:rPr>
                <w:rFonts w:cs="Arial"/>
                <w:sz w:val="18"/>
                <w:szCs w:val="18"/>
              </w:rPr>
            </w:pPr>
            <w:r w:rsidRPr="001B5F11">
              <w:rPr>
                <w:rFonts w:cs="Arial"/>
                <w:sz w:val="18"/>
                <w:szCs w:val="18"/>
              </w:rPr>
              <w:t>9.2 Evidence of Information Governance considerations in Project Initiation Documentation</w:t>
            </w:r>
          </w:p>
          <w:p w14:paraId="3EFEF87F" w14:textId="77777777" w:rsidR="00824414" w:rsidRPr="001B5F11" w:rsidRDefault="00824414" w:rsidP="00D80682">
            <w:pPr>
              <w:autoSpaceDN w:val="0"/>
              <w:spacing w:line="276" w:lineRule="auto"/>
              <w:rPr>
                <w:rFonts w:cs="Arial"/>
                <w:sz w:val="18"/>
                <w:szCs w:val="18"/>
              </w:rPr>
            </w:pPr>
          </w:p>
        </w:tc>
        <w:tc>
          <w:tcPr>
            <w:tcW w:w="2407" w:type="dxa"/>
          </w:tcPr>
          <w:p w14:paraId="568FF1E2" w14:textId="77777777" w:rsidR="00824414" w:rsidRPr="001B5F11" w:rsidRDefault="00824414" w:rsidP="00D80682">
            <w:pPr>
              <w:rPr>
                <w:rFonts w:cs="Arial"/>
                <w:sz w:val="18"/>
                <w:szCs w:val="18"/>
              </w:rPr>
            </w:pPr>
            <w:r>
              <w:rPr>
                <w:rFonts w:cs="Arial"/>
                <w:sz w:val="18"/>
                <w:szCs w:val="18"/>
              </w:rPr>
              <w:t>N/A</w:t>
            </w:r>
          </w:p>
        </w:tc>
        <w:tc>
          <w:tcPr>
            <w:tcW w:w="2268" w:type="dxa"/>
          </w:tcPr>
          <w:p w14:paraId="6B3F4B75" w14:textId="77777777" w:rsidR="00824414" w:rsidRPr="001B5F11" w:rsidRDefault="00824414" w:rsidP="00D80682">
            <w:pPr>
              <w:rPr>
                <w:rFonts w:cs="Arial"/>
                <w:sz w:val="18"/>
                <w:szCs w:val="18"/>
              </w:rPr>
            </w:pPr>
          </w:p>
        </w:tc>
        <w:tc>
          <w:tcPr>
            <w:tcW w:w="3174" w:type="dxa"/>
          </w:tcPr>
          <w:p w14:paraId="763EB7F8" w14:textId="77777777" w:rsidR="00824414" w:rsidRPr="001B5F11" w:rsidRDefault="00824414" w:rsidP="00D80682">
            <w:pPr>
              <w:rPr>
                <w:rFonts w:cs="Arial"/>
                <w:sz w:val="18"/>
                <w:szCs w:val="18"/>
              </w:rPr>
            </w:pPr>
          </w:p>
        </w:tc>
      </w:tr>
      <w:tr w:rsidR="00824414" w:rsidRPr="001B5F11" w14:paraId="768E5FAC" w14:textId="77777777" w:rsidTr="00824414">
        <w:trPr>
          <w:jc w:val="center"/>
        </w:trPr>
        <w:tc>
          <w:tcPr>
            <w:tcW w:w="2355" w:type="dxa"/>
            <w:vMerge/>
          </w:tcPr>
          <w:p w14:paraId="19DAFDE5" w14:textId="77777777" w:rsidR="00824414" w:rsidRPr="001B5F11" w:rsidRDefault="00824414" w:rsidP="00D80682">
            <w:pPr>
              <w:rPr>
                <w:rFonts w:cs="Arial"/>
                <w:sz w:val="18"/>
                <w:szCs w:val="18"/>
              </w:rPr>
            </w:pPr>
          </w:p>
        </w:tc>
        <w:tc>
          <w:tcPr>
            <w:tcW w:w="5105" w:type="dxa"/>
          </w:tcPr>
          <w:p w14:paraId="014B0952" w14:textId="77777777" w:rsidR="00824414" w:rsidRPr="001B5F11" w:rsidRDefault="00824414" w:rsidP="00D80682">
            <w:pPr>
              <w:autoSpaceDN w:val="0"/>
              <w:spacing w:line="276" w:lineRule="auto"/>
              <w:rPr>
                <w:rFonts w:cs="Arial"/>
                <w:color w:val="0D0D0D" w:themeColor="text1" w:themeTint="F2"/>
                <w:sz w:val="18"/>
                <w:szCs w:val="18"/>
              </w:rPr>
            </w:pPr>
            <w:r w:rsidRPr="001B5F11">
              <w:rPr>
                <w:rFonts w:cs="Arial"/>
                <w:color w:val="0D0D0D" w:themeColor="text1" w:themeTint="F2"/>
                <w:sz w:val="18"/>
                <w:szCs w:val="18"/>
              </w:rPr>
              <w:t>9.3 Evidence of DPIA risks incorporated into (organisational/LHCR) risk register including mitigation and management</w:t>
            </w:r>
          </w:p>
        </w:tc>
        <w:tc>
          <w:tcPr>
            <w:tcW w:w="2407" w:type="dxa"/>
          </w:tcPr>
          <w:p w14:paraId="36B13B13" w14:textId="77777777" w:rsidR="00824414" w:rsidRPr="001B5F11" w:rsidRDefault="00824414" w:rsidP="00D80682">
            <w:pPr>
              <w:rPr>
                <w:rFonts w:cs="Arial"/>
                <w:sz w:val="18"/>
                <w:szCs w:val="18"/>
              </w:rPr>
            </w:pPr>
            <w:r>
              <w:rPr>
                <w:rFonts w:cs="Arial"/>
                <w:sz w:val="18"/>
                <w:szCs w:val="18"/>
              </w:rPr>
              <w:t>N/A</w:t>
            </w:r>
          </w:p>
        </w:tc>
        <w:tc>
          <w:tcPr>
            <w:tcW w:w="2268" w:type="dxa"/>
          </w:tcPr>
          <w:p w14:paraId="483408CB" w14:textId="77777777" w:rsidR="00824414" w:rsidRPr="001B5F11" w:rsidRDefault="00824414" w:rsidP="00D80682">
            <w:pPr>
              <w:rPr>
                <w:rFonts w:cs="Arial"/>
                <w:sz w:val="18"/>
                <w:szCs w:val="18"/>
              </w:rPr>
            </w:pPr>
          </w:p>
        </w:tc>
        <w:tc>
          <w:tcPr>
            <w:tcW w:w="3174" w:type="dxa"/>
          </w:tcPr>
          <w:p w14:paraId="0F421E3A" w14:textId="77777777" w:rsidR="00824414" w:rsidRPr="001B5F11" w:rsidRDefault="00824414" w:rsidP="00D80682">
            <w:pPr>
              <w:rPr>
                <w:rFonts w:cs="Arial"/>
                <w:sz w:val="18"/>
                <w:szCs w:val="18"/>
              </w:rPr>
            </w:pPr>
          </w:p>
        </w:tc>
      </w:tr>
      <w:tr w:rsidR="00824414" w:rsidRPr="001B5F11" w14:paraId="3BE49B58" w14:textId="77777777" w:rsidTr="00824414">
        <w:trPr>
          <w:jc w:val="center"/>
        </w:trPr>
        <w:tc>
          <w:tcPr>
            <w:tcW w:w="2355" w:type="dxa"/>
            <w:vMerge/>
          </w:tcPr>
          <w:p w14:paraId="4EF94A10" w14:textId="77777777" w:rsidR="00824414" w:rsidRPr="001B5F11" w:rsidRDefault="00824414" w:rsidP="00D80682">
            <w:pPr>
              <w:rPr>
                <w:rFonts w:cs="Arial"/>
                <w:sz w:val="18"/>
                <w:szCs w:val="18"/>
              </w:rPr>
            </w:pPr>
          </w:p>
        </w:tc>
        <w:tc>
          <w:tcPr>
            <w:tcW w:w="5105" w:type="dxa"/>
          </w:tcPr>
          <w:p w14:paraId="4C9B15F6" w14:textId="77777777" w:rsidR="00824414" w:rsidRPr="001B5F11" w:rsidRDefault="00824414" w:rsidP="00D80682">
            <w:pPr>
              <w:autoSpaceDN w:val="0"/>
              <w:spacing w:line="276" w:lineRule="auto"/>
              <w:rPr>
                <w:rFonts w:cs="Arial"/>
                <w:color w:val="0D0D0D" w:themeColor="text1" w:themeTint="F2"/>
                <w:sz w:val="18"/>
                <w:szCs w:val="18"/>
              </w:rPr>
            </w:pPr>
            <w:r w:rsidRPr="001B5F11">
              <w:rPr>
                <w:rFonts w:cs="Arial"/>
                <w:color w:val="0D0D0D" w:themeColor="text1" w:themeTint="F2"/>
                <w:sz w:val="18"/>
                <w:szCs w:val="18"/>
              </w:rPr>
              <w:t>9.4 Evidence of consultation with the public on the DPIA</w:t>
            </w:r>
          </w:p>
        </w:tc>
        <w:tc>
          <w:tcPr>
            <w:tcW w:w="2407" w:type="dxa"/>
          </w:tcPr>
          <w:p w14:paraId="74A66983" w14:textId="77777777" w:rsidR="00824414" w:rsidRPr="001B5F11" w:rsidRDefault="00824414" w:rsidP="00D80682">
            <w:pPr>
              <w:rPr>
                <w:rFonts w:cs="Arial"/>
                <w:sz w:val="18"/>
                <w:szCs w:val="18"/>
              </w:rPr>
            </w:pPr>
            <w:r>
              <w:rPr>
                <w:rFonts w:cs="Arial"/>
                <w:sz w:val="18"/>
                <w:szCs w:val="18"/>
              </w:rPr>
              <w:t>N/A</w:t>
            </w:r>
          </w:p>
        </w:tc>
        <w:tc>
          <w:tcPr>
            <w:tcW w:w="2268" w:type="dxa"/>
          </w:tcPr>
          <w:p w14:paraId="2F2ABD0E" w14:textId="77777777" w:rsidR="00824414" w:rsidRPr="001B5F11" w:rsidRDefault="00824414" w:rsidP="00D80682">
            <w:pPr>
              <w:rPr>
                <w:rFonts w:cs="Arial"/>
                <w:sz w:val="18"/>
                <w:szCs w:val="18"/>
              </w:rPr>
            </w:pPr>
          </w:p>
        </w:tc>
        <w:tc>
          <w:tcPr>
            <w:tcW w:w="3174" w:type="dxa"/>
          </w:tcPr>
          <w:p w14:paraId="15A37C4F" w14:textId="77777777" w:rsidR="00824414" w:rsidRPr="001B5F11" w:rsidRDefault="00824414" w:rsidP="00D80682">
            <w:pPr>
              <w:rPr>
                <w:rFonts w:cs="Arial"/>
                <w:sz w:val="18"/>
                <w:szCs w:val="18"/>
              </w:rPr>
            </w:pPr>
          </w:p>
        </w:tc>
      </w:tr>
      <w:tr w:rsidR="00824414" w:rsidRPr="001B5F11" w14:paraId="4D230D4C" w14:textId="77777777" w:rsidTr="00824414">
        <w:trPr>
          <w:jc w:val="center"/>
        </w:trPr>
        <w:tc>
          <w:tcPr>
            <w:tcW w:w="2355" w:type="dxa"/>
            <w:vMerge/>
          </w:tcPr>
          <w:p w14:paraId="4C286518" w14:textId="77777777" w:rsidR="00824414" w:rsidRPr="001B5F11" w:rsidRDefault="00824414" w:rsidP="00D80682">
            <w:pPr>
              <w:rPr>
                <w:rFonts w:cs="Arial"/>
                <w:sz w:val="18"/>
                <w:szCs w:val="18"/>
              </w:rPr>
            </w:pPr>
          </w:p>
        </w:tc>
        <w:tc>
          <w:tcPr>
            <w:tcW w:w="5105" w:type="dxa"/>
          </w:tcPr>
          <w:p w14:paraId="44BB39A9" w14:textId="77777777" w:rsidR="00824414" w:rsidRPr="001B5F11" w:rsidRDefault="00824414" w:rsidP="00D80682">
            <w:pPr>
              <w:autoSpaceDN w:val="0"/>
              <w:spacing w:line="276" w:lineRule="auto"/>
              <w:rPr>
                <w:rFonts w:cs="Arial"/>
                <w:color w:val="0D0D0D" w:themeColor="text1" w:themeTint="F2"/>
                <w:sz w:val="18"/>
                <w:szCs w:val="18"/>
              </w:rPr>
            </w:pPr>
            <w:r w:rsidRPr="001B5F11">
              <w:rPr>
                <w:rFonts w:cs="Arial"/>
                <w:color w:val="0D0D0D" w:themeColor="text1" w:themeTint="F2"/>
                <w:sz w:val="18"/>
                <w:szCs w:val="18"/>
              </w:rPr>
              <w:t>9.5 Evidence that unmitigated high risks are escalated to the DPO and the ICO is consulted</w:t>
            </w:r>
          </w:p>
        </w:tc>
        <w:tc>
          <w:tcPr>
            <w:tcW w:w="2407" w:type="dxa"/>
          </w:tcPr>
          <w:p w14:paraId="5D9FF078" w14:textId="77777777" w:rsidR="00824414" w:rsidRPr="001B5F11" w:rsidRDefault="00824414" w:rsidP="00D80682">
            <w:pPr>
              <w:rPr>
                <w:rFonts w:cs="Arial"/>
                <w:sz w:val="18"/>
                <w:szCs w:val="18"/>
              </w:rPr>
            </w:pPr>
            <w:r>
              <w:rPr>
                <w:rFonts w:cs="Arial"/>
                <w:sz w:val="18"/>
                <w:szCs w:val="18"/>
              </w:rPr>
              <w:t>N/A</w:t>
            </w:r>
          </w:p>
        </w:tc>
        <w:tc>
          <w:tcPr>
            <w:tcW w:w="2268" w:type="dxa"/>
          </w:tcPr>
          <w:p w14:paraId="5BD910E5" w14:textId="77777777" w:rsidR="00824414" w:rsidRPr="001B5F11" w:rsidRDefault="00824414" w:rsidP="00D80682">
            <w:pPr>
              <w:rPr>
                <w:rFonts w:cs="Arial"/>
                <w:sz w:val="18"/>
                <w:szCs w:val="18"/>
              </w:rPr>
            </w:pPr>
          </w:p>
        </w:tc>
        <w:tc>
          <w:tcPr>
            <w:tcW w:w="3174" w:type="dxa"/>
          </w:tcPr>
          <w:p w14:paraId="316A1136" w14:textId="77777777" w:rsidR="00824414" w:rsidRPr="001B5F11" w:rsidRDefault="00824414" w:rsidP="00D80682">
            <w:pPr>
              <w:rPr>
                <w:rFonts w:cs="Arial"/>
                <w:sz w:val="18"/>
                <w:szCs w:val="18"/>
              </w:rPr>
            </w:pPr>
          </w:p>
        </w:tc>
      </w:tr>
    </w:tbl>
    <w:p w14:paraId="54C1FDCA" w14:textId="77777777" w:rsidR="00824414" w:rsidRDefault="00824414" w:rsidP="00824414"/>
    <w:tbl>
      <w:tblPr>
        <w:tblStyle w:val="TableGrid"/>
        <w:tblW w:w="15309" w:type="dxa"/>
        <w:jc w:val="center"/>
        <w:tblLook w:val="04A0" w:firstRow="1" w:lastRow="0" w:firstColumn="1" w:lastColumn="0" w:noHBand="0" w:noVBand="1"/>
      </w:tblPr>
      <w:tblGrid>
        <w:gridCol w:w="2187"/>
        <w:gridCol w:w="927"/>
        <w:gridCol w:w="3447"/>
        <w:gridCol w:w="1089"/>
        <w:gridCol w:w="4111"/>
        <w:gridCol w:w="1361"/>
        <w:gridCol w:w="2187"/>
      </w:tblGrid>
      <w:tr w:rsidR="00824414" w:rsidRPr="001B5F11" w14:paraId="3E3A1BEA" w14:textId="77777777" w:rsidTr="00D80682">
        <w:trPr>
          <w:jc w:val="center"/>
        </w:trPr>
        <w:tc>
          <w:tcPr>
            <w:tcW w:w="2187" w:type="dxa"/>
          </w:tcPr>
          <w:p w14:paraId="31321EC7" w14:textId="77777777" w:rsidR="00824414" w:rsidRPr="001B5F11" w:rsidRDefault="00824414" w:rsidP="00D80682">
            <w:pPr>
              <w:rPr>
                <w:rFonts w:cs="Arial"/>
                <w:sz w:val="18"/>
                <w:szCs w:val="18"/>
              </w:rPr>
            </w:pPr>
            <w:r>
              <w:rPr>
                <w:rFonts w:cs="Arial"/>
                <w:sz w:val="18"/>
                <w:szCs w:val="18"/>
              </w:rPr>
              <w:t>Signed off by Internal Audit</w:t>
            </w:r>
          </w:p>
        </w:tc>
        <w:tc>
          <w:tcPr>
            <w:tcW w:w="927" w:type="dxa"/>
          </w:tcPr>
          <w:p w14:paraId="6AD37D73" w14:textId="77777777" w:rsidR="00824414" w:rsidRPr="001B5F11" w:rsidRDefault="00824414" w:rsidP="00D80682">
            <w:pPr>
              <w:rPr>
                <w:rFonts w:cs="Arial"/>
                <w:sz w:val="18"/>
                <w:szCs w:val="18"/>
              </w:rPr>
            </w:pPr>
            <w:r>
              <w:rPr>
                <w:rFonts w:cs="Arial"/>
                <w:sz w:val="18"/>
                <w:szCs w:val="18"/>
              </w:rPr>
              <w:t>Name:</w:t>
            </w:r>
          </w:p>
        </w:tc>
        <w:tc>
          <w:tcPr>
            <w:tcW w:w="3447" w:type="dxa"/>
          </w:tcPr>
          <w:p w14:paraId="4E8097B7" w14:textId="77777777" w:rsidR="00824414" w:rsidRDefault="00824414" w:rsidP="00D80682">
            <w:pPr>
              <w:rPr>
                <w:rFonts w:cs="Arial"/>
                <w:sz w:val="18"/>
                <w:szCs w:val="18"/>
              </w:rPr>
            </w:pPr>
          </w:p>
          <w:p w14:paraId="364939E6" w14:textId="77777777" w:rsidR="00824414" w:rsidRDefault="00824414" w:rsidP="00D80682">
            <w:pPr>
              <w:rPr>
                <w:rFonts w:cs="Arial"/>
                <w:sz w:val="18"/>
                <w:szCs w:val="18"/>
              </w:rPr>
            </w:pPr>
          </w:p>
          <w:p w14:paraId="323EEE0B" w14:textId="77777777" w:rsidR="00824414" w:rsidRPr="001B5F11" w:rsidRDefault="00824414" w:rsidP="00D80682">
            <w:pPr>
              <w:rPr>
                <w:rFonts w:cs="Arial"/>
                <w:sz w:val="18"/>
                <w:szCs w:val="18"/>
              </w:rPr>
            </w:pPr>
          </w:p>
        </w:tc>
        <w:tc>
          <w:tcPr>
            <w:tcW w:w="1089" w:type="dxa"/>
          </w:tcPr>
          <w:p w14:paraId="333EEC65" w14:textId="77777777" w:rsidR="00824414" w:rsidRPr="001B5F11" w:rsidRDefault="00824414" w:rsidP="00D80682">
            <w:pPr>
              <w:rPr>
                <w:rFonts w:cs="Arial"/>
                <w:sz w:val="18"/>
                <w:szCs w:val="18"/>
              </w:rPr>
            </w:pPr>
            <w:r>
              <w:rPr>
                <w:rFonts w:cs="Arial"/>
                <w:sz w:val="18"/>
                <w:szCs w:val="18"/>
              </w:rPr>
              <w:t>Signature:</w:t>
            </w:r>
          </w:p>
        </w:tc>
        <w:tc>
          <w:tcPr>
            <w:tcW w:w="4111" w:type="dxa"/>
          </w:tcPr>
          <w:p w14:paraId="0FFFB4B6" w14:textId="77777777" w:rsidR="00824414" w:rsidRPr="001B5F11" w:rsidRDefault="00824414" w:rsidP="00D80682">
            <w:pPr>
              <w:rPr>
                <w:rFonts w:cs="Arial"/>
                <w:sz w:val="18"/>
                <w:szCs w:val="18"/>
              </w:rPr>
            </w:pPr>
          </w:p>
        </w:tc>
        <w:tc>
          <w:tcPr>
            <w:tcW w:w="1361" w:type="dxa"/>
          </w:tcPr>
          <w:p w14:paraId="5FC471AC" w14:textId="77777777" w:rsidR="00824414" w:rsidRPr="001B5F11" w:rsidRDefault="00824414" w:rsidP="00D80682">
            <w:pPr>
              <w:rPr>
                <w:rFonts w:cs="Arial"/>
                <w:sz w:val="18"/>
                <w:szCs w:val="18"/>
              </w:rPr>
            </w:pPr>
            <w:r>
              <w:rPr>
                <w:rFonts w:cs="Arial"/>
                <w:sz w:val="18"/>
                <w:szCs w:val="18"/>
              </w:rPr>
              <w:t>Date: (dd/mm/yyyy):</w:t>
            </w:r>
          </w:p>
        </w:tc>
        <w:tc>
          <w:tcPr>
            <w:tcW w:w="2187" w:type="dxa"/>
          </w:tcPr>
          <w:p w14:paraId="0E49BF3C" w14:textId="77777777" w:rsidR="00824414" w:rsidRPr="001B5F11" w:rsidRDefault="00824414" w:rsidP="00D80682">
            <w:pPr>
              <w:rPr>
                <w:rFonts w:cs="Arial"/>
                <w:sz w:val="18"/>
                <w:szCs w:val="18"/>
              </w:rPr>
            </w:pPr>
          </w:p>
        </w:tc>
      </w:tr>
      <w:tr w:rsidR="00824414" w:rsidRPr="001B5F11" w14:paraId="38775176" w14:textId="77777777" w:rsidTr="00D80682">
        <w:trPr>
          <w:jc w:val="center"/>
        </w:trPr>
        <w:tc>
          <w:tcPr>
            <w:tcW w:w="2187" w:type="dxa"/>
          </w:tcPr>
          <w:p w14:paraId="564DC5E9" w14:textId="77777777" w:rsidR="00824414" w:rsidRDefault="00824414" w:rsidP="00D80682">
            <w:pPr>
              <w:rPr>
                <w:rFonts w:cs="Arial"/>
                <w:sz w:val="18"/>
                <w:szCs w:val="18"/>
              </w:rPr>
            </w:pPr>
            <w:r>
              <w:rPr>
                <w:rFonts w:cs="Arial"/>
                <w:sz w:val="18"/>
                <w:szCs w:val="18"/>
              </w:rPr>
              <w:t>Signed off by the Board</w:t>
            </w:r>
          </w:p>
        </w:tc>
        <w:tc>
          <w:tcPr>
            <w:tcW w:w="927" w:type="dxa"/>
          </w:tcPr>
          <w:p w14:paraId="00AE56B0" w14:textId="77777777" w:rsidR="00824414" w:rsidRDefault="00824414" w:rsidP="00D80682">
            <w:pPr>
              <w:rPr>
                <w:rFonts w:cs="Arial"/>
                <w:sz w:val="18"/>
                <w:szCs w:val="18"/>
              </w:rPr>
            </w:pPr>
            <w:r>
              <w:rPr>
                <w:rFonts w:cs="Arial"/>
                <w:sz w:val="18"/>
                <w:szCs w:val="18"/>
              </w:rPr>
              <w:t>Name:</w:t>
            </w:r>
          </w:p>
        </w:tc>
        <w:tc>
          <w:tcPr>
            <w:tcW w:w="3447" w:type="dxa"/>
          </w:tcPr>
          <w:p w14:paraId="3B4045A6" w14:textId="77777777" w:rsidR="00824414" w:rsidRDefault="00824414" w:rsidP="00D80682">
            <w:pPr>
              <w:rPr>
                <w:rFonts w:cs="Arial"/>
                <w:sz w:val="18"/>
                <w:szCs w:val="18"/>
              </w:rPr>
            </w:pPr>
          </w:p>
          <w:p w14:paraId="2BBCD57D" w14:textId="77777777" w:rsidR="00824414" w:rsidRDefault="00824414" w:rsidP="00D80682">
            <w:pPr>
              <w:rPr>
                <w:rFonts w:cs="Arial"/>
                <w:sz w:val="18"/>
                <w:szCs w:val="18"/>
              </w:rPr>
            </w:pPr>
          </w:p>
          <w:p w14:paraId="0656D5BC" w14:textId="77777777" w:rsidR="00824414" w:rsidRPr="001B5F11" w:rsidRDefault="00824414" w:rsidP="00D80682">
            <w:pPr>
              <w:rPr>
                <w:rFonts w:cs="Arial"/>
                <w:sz w:val="18"/>
                <w:szCs w:val="18"/>
              </w:rPr>
            </w:pPr>
          </w:p>
        </w:tc>
        <w:tc>
          <w:tcPr>
            <w:tcW w:w="1089" w:type="dxa"/>
          </w:tcPr>
          <w:p w14:paraId="4C523F0D" w14:textId="77777777" w:rsidR="00824414" w:rsidRDefault="00824414" w:rsidP="00D80682">
            <w:pPr>
              <w:rPr>
                <w:rFonts w:cs="Arial"/>
                <w:sz w:val="18"/>
                <w:szCs w:val="18"/>
              </w:rPr>
            </w:pPr>
            <w:r>
              <w:rPr>
                <w:rFonts w:cs="Arial"/>
                <w:sz w:val="18"/>
                <w:szCs w:val="18"/>
              </w:rPr>
              <w:t>Signature:</w:t>
            </w:r>
          </w:p>
        </w:tc>
        <w:tc>
          <w:tcPr>
            <w:tcW w:w="4111" w:type="dxa"/>
          </w:tcPr>
          <w:p w14:paraId="0A49A094" w14:textId="77777777" w:rsidR="00824414" w:rsidRPr="001B5F11" w:rsidRDefault="00824414" w:rsidP="00D80682">
            <w:pPr>
              <w:rPr>
                <w:rFonts w:cs="Arial"/>
                <w:sz w:val="18"/>
                <w:szCs w:val="18"/>
              </w:rPr>
            </w:pPr>
          </w:p>
        </w:tc>
        <w:tc>
          <w:tcPr>
            <w:tcW w:w="1361" w:type="dxa"/>
          </w:tcPr>
          <w:p w14:paraId="45A212D9" w14:textId="77777777" w:rsidR="00824414" w:rsidRDefault="00824414" w:rsidP="00D80682">
            <w:pPr>
              <w:rPr>
                <w:rFonts w:cs="Arial"/>
                <w:sz w:val="18"/>
                <w:szCs w:val="18"/>
              </w:rPr>
            </w:pPr>
            <w:r>
              <w:rPr>
                <w:rFonts w:cs="Arial"/>
                <w:sz w:val="18"/>
                <w:szCs w:val="18"/>
              </w:rPr>
              <w:t>Date (dd/mm/yyyy):</w:t>
            </w:r>
          </w:p>
        </w:tc>
        <w:tc>
          <w:tcPr>
            <w:tcW w:w="2187" w:type="dxa"/>
          </w:tcPr>
          <w:p w14:paraId="75B9FACD" w14:textId="77777777" w:rsidR="00824414" w:rsidRDefault="00824414" w:rsidP="00D80682">
            <w:pPr>
              <w:rPr>
                <w:rFonts w:cs="Arial"/>
                <w:sz w:val="18"/>
                <w:szCs w:val="18"/>
              </w:rPr>
            </w:pPr>
          </w:p>
          <w:p w14:paraId="7AD780DB" w14:textId="77777777" w:rsidR="00824414" w:rsidRPr="001B5F11" w:rsidRDefault="00824414" w:rsidP="00D80682">
            <w:pPr>
              <w:rPr>
                <w:rFonts w:cs="Arial"/>
                <w:sz w:val="18"/>
                <w:szCs w:val="18"/>
              </w:rPr>
            </w:pPr>
          </w:p>
        </w:tc>
      </w:tr>
    </w:tbl>
    <w:p w14:paraId="547CF81A" w14:textId="77777777" w:rsidR="00911493" w:rsidRDefault="00911493" w:rsidP="00911493"/>
    <w:p w14:paraId="5946EE49" w14:textId="77777777" w:rsidR="00911493" w:rsidRDefault="00911493" w:rsidP="00911493"/>
    <w:p w14:paraId="1130557E" w14:textId="77777777" w:rsidR="00C009C6" w:rsidRPr="00032CF3" w:rsidRDefault="00C009C6">
      <w:pPr>
        <w:spacing w:before="0" w:after="160" w:line="259" w:lineRule="auto"/>
        <w:rPr>
          <w:rFonts w:cs="Arial"/>
          <w:color w:val="FF0000"/>
          <w:sz w:val="22"/>
        </w:rPr>
      </w:pPr>
    </w:p>
    <w:p w14:paraId="064C76A1" w14:textId="77777777" w:rsidR="00C009C6" w:rsidRPr="00032CF3" w:rsidRDefault="00C009C6">
      <w:pPr>
        <w:spacing w:before="0" w:after="160" w:line="259" w:lineRule="auto"/>
        <w:rPr>
          <w:rFonts w:cs="Arial"/>
          <w:color w:val="FF0000"/>
          <w:sz w:val="22"/>
        </w:rPr>
        <w:sectPr w:rsidR="00C009C6" w:rsidRPr="00032CF3" w:rsidSect="00C009C6">
          <w:pgSz w:w="16840" w:h="11900" w:orient="landscape"/>
          <w:pgMar w:top="993" w:right="993" w:bottom="1127" w:left="993" w:header="0" w:footer="191" w:gutter="0"/>
          <w:cols w:space="708"/>
          <w:docGrid w:linePitch="326"/>
        </w:sectPr>
      </w:pPr>
    </w:p>
    <w:p w14:paraId="3E6FA647" w14:textId="77777777" w:rsidR="000B5F9D" w:rsidRPr="00032CF3" w:rsidRDefault="000B5F9D">
      <w:pPr>
        <w:spacing w:before="0" w:after="160" w:line="259" w:lineRule="auto"/>
        <w:rPr>
          <w:rFonts w:eastAsiaTheme="majorEastAsia" w:cs="Arial"/>
          <w:b/>
          <w:bCs w:val="0"/>
          <w:color w:val="000000" w:themeColor="text1"/>
          <w:sz w:val="28"/>
        </w:rPr>
      </w:pPr>
    </w:p>
    <w:p w14:paraId="5C4AB693" w14:textId="77777777" w:rsidR="00A401EA" w:rsidRPr="00032CF3" w:rsidRDefault="00F60926" w:rsidP="00E77C78">
      <w:pPr>
        <w:pStyle w:val="Heading2"/>
        <w:rPr>
          <w:rFonts w:cs="Arial"/>
        </w:rPr>
      </w:pPr>
      <w:bookmarkStart w:id="82" w:name="_Toc10223092"/>
      <w:r w:rsidRPr="00032CF3">
        <w:rPr>
          <w:rFonts w:cs="Arial"/>
        </w:rPr>
        <w:t>Appendix N</w:t>
      </w:r>
      <w:r w:rsidR="00E77C78" w:rsidRPr="00032CF3">
        <w:rPr>
          <w:rFonts w:cs="Arial"/>
        </w:rPr>
        <w:t xml:space="preserve"> - </w:t>
      </w:r>
      <w:r w:rsidRPr="00032CF3">
        <w:rPr>
          <w:rFonts w:cs="Arial"/>
        </w:rPr>
        <w:t>Individual Rights under GDPR</w:t>
      </w:r>
      <w:r w:rsidR="007003BD" w:rsidRPr="00032CF3">
        <w:rPr>
          <w:rFonts w:cs="Arial"/>
        </w:rPr>
        <w:t xml:space="preserve"> - Art. 12 - 23</w:t>
      </w:r>
      <w:bookmarkEnd w:id="82"/>
    </w:p>
    <w:p w14:paraId="394B1BDD" w14:textId="77777777" w:rsidR="00E77C78" w:rsidRPr="00032CF3" w:rsidRDefault="00F60926" w:rsidP="00B914EE">
      <w:pPr>
        <w:pStyle w:val="ListParagraph"/>
        <w:numPr>
          <w:ilvl w:val="3"/>
          <w:numId w:val="28"/>
        </w:numPr>
        <w:ind w:left="567" w:hanging="567"/>
        <w:jc w:val="left"/>
        <w:rPr>
          <w:rFonts w:ascii="Arial" w:hAnsi="Arial"/>
          <w:b/>
          <w:sz w:val="24"/>
        </w:rPr>
      </w:pPr>
      <w:r w:rsidRPr="00032CF3">
        <w:rPr>
          <w:rFonts w:ascii="Arial" w:hAnsi="Arial"/>
          <w:b/>
          <w:sz w:val="24"/>
          <w:lang w:eastAsia="en-GB"/>
        </w:rPr>
        <w:t>The right to be informed</w:t>
      </w:r>
    </w:p>
    <w:p w14:paraId="1178CDCC" w14:textId="77777777" w:rsidR="00F60926" w:rsidRPr="00032CF3" w:rsidRDefault="00F60926" w:rsidP="00CB5A05">
      <w:pPr>
        <w:pStyle w:val="NormalWeb"/>
        <w:shd w:val="clear" w:color="auto" w:fill="FFFFFF"/>
        <w:spacing w:before="0" w:after="0" w:line="276" w:lineRule="auto"/>
        <w:jc w:val="both"/>
        <w:rPr>
          <w:rFonts w:ascii="Arial" w:hAnsi="Arial" w:cs="Arial"/>
          <w:color w:val="000000"/>
        </w:rPr>
      </w:pPr>
      <w:r w:rsidRPr="00032CF3">
        <w:rPr>
          <w:rFonts w:ascii="Arial" w:hAnsi="Arial" w:cs="Arial"/>
          <w:color w:val="000000"/>
        </w:rPr>
        <w:t>The right to be informed covers some of the key transparency requirements of the GDPR. It is about providing individuals with clear and concise information about what you do with their personal data. (Articles 13 and 14 specify what individuals have the right to be informed about)</w:t>
      </w:r>
    </w:p>
    <w:p w14:paraId="627BBCC9" w14:textId="77777777" w:rsidR="00CB5A05" w:rsidRPr="00032CF3" w:rsidRDefault="00CB5A05" w:rsidP="00CB5A05">
      <w:pPr>
        <w:pStyle w:val="NormalWeb"/>
        <w:shd w:val="clear" w:color="auto" w:fill="FFFFFF"/>
        <w:spacing w:before="0" w:after="0" w:line="276" w:lineRule="auto"/>
        <w:jc w:val="both"/>
        <w:rPr>
          <w:rFonts w:ascii="Arial" w:hAnsi="Arial" w:cs="Arial"/>
          <w:color w:val="000000"/>
        </w:rPr>
      </w:pPr>
    </w:p>
    <w:p w14:paraId="40065545" w14:textId="77777777" w:rsidR="00F60926" w:rsidRPr="00032CF3" w:rsidRDefault="00F60926" w:rsidP="00B914EE">
      <w:pPr>
        <w:pStyle w:val="ListParagraph"/>
        <w:numPr>
          <w:ilvl w:val="3"/>
          <w:numId w:val="28"/>
        </w:numPr>
        <w:ind w:left="567" w:hanging="567"/>
        <w:jc w:val="left"/>
        <w:rPr>
          <w:rFonts w:ascii="Arial" w:hAnsi="Arial"/>
          <w:b/>
          <w:sz w:val="24"/>
        </w:rPr>
      </w:pPr>
      <w:r w:rsidRPr="00032CF3">
        <w:rPr>
          <w:rFonts w:ascii="Arial" w:hAnsi="Arial"/>
          <w:b/>
          <w:sz w:val="24"/>
          <w:lang w:eastAsia="en-GB"/>
        </w:rPr>
        <w:t>The right of access</w:t>
      </w:r>
      <w:r w:rsidR="007003BD" w:rsidRPr="00032CF3">
        <w:rPr>
          <w:rFonts w:ascii="Arial" w:hAnsi="Arial"/>
          <w:b/>
          <w:sz w:val="24"/>
          <w:lang w:eastAsia="en-GB"/>
        </w:rPr>
        <w:t xml:space="preserve"> </w:t>
      </w:r>
    </w:p>
    <w:p w14:paraId="4E020145" w14:textId="77777777" w:rsidR="00F60926" w:rsidRPr="00032CF3" w:rsidRDefault="00F60926" w:rsidP="00CB5A05">
      <w:pPr>
        <w:pStyle w:val="NormalWeb"/>
        <w:shd w:val="clear" w:color="auto" w:fill="FFFFFF"/>
        <w:spacing w:before="0" w:after="0" w:line="276" w:lineRule="auto"/>
        <w:ind w:left="-3"/>
        <w:contextualSpacing/>
        <w:jc w:val="both"/>
        <w:rPr>
          <w:rFonts w:ascii="Arial" w:hAnsi="Arial" w:cs="Arial"/>
          <w:color w:val="000000"/>
        </w:rPr>
      </w:pPr>
      <w:r w:rsidRPr="00032CF3">
        <w:rPr>
          <w:rFonts w:ascii="Arial" w:hAnsi="Arial" w:cs="Arial"/>
          <w:color w:val="000000"/>
        </w:rPr>
        <w:t>Individuals have the right to access their personal data which is commonly referred to as</w:t>
      </w:r>
      <w:r w:rsidR="00E920B7" w:rsidRPr="00032CF3">
        <w:rPr>
          <w:rFonts w:ascii="Arial" w:hAnsi="Arial" w:cs="Arial"/>
          <w:color w:val="000000"/>
        </w:rPr>
        <w:t xml:space="preserve"> a</w:t>
      </w:r>
      <w:r w:rsidRPr="00032CF3">
        <w:rPr>
          <w:rFonts w:ascii="Arial" w:hAnsi="Arial" w:cs="Arial"/>
          <w:color w:val="000000"/>
        </w:rPr>
        <w:t xml:space="preserve"> “Subject Access Request”. Responses to these requests should typically be made within one month (</w:t>
      </w:r>
      <w:r w:rsidR="00E920B7" w:rsidRPr="00032CF3">
        <w:rPr>
          <w:rFonts w:ascii="Arial" w:hAnsi="Arial" w:cs="Arial"/>
          <w:color w:val="000000"/>
        </w:rPr>
        <w:t>h</w:t>
      </w:r>
      <w:r w:rsidRPr="00032CF3">
        <w:rPr>
          <w:rFonts w:ascii="Arial" w:hAnsi="Arial" w:cs="Arial"/>
          <w:color w:val="000000"/>
        </w:rPr>
        <w:t>owever there are circumstances where an extension may be sought). There needs to be consideration if the request includes information about others.</w:t>
      </w:r>
    </w:p>
    <w:p w14:paraId="3DF79FAA" w14:textId="77777777" w:rsidR="00F60926" w:rsidRPr="00032CF3" w:rsidRDefault="00F60926" w:rsidP="00CB5A05">
      <w:pPr>
        <w:pStyle w:val="NormalWeb"/>
        <w:shd w:val="clear" w:color="auto" w:fill="FFFFFF"/>
        <w:spacing w:before="0" w:after="0" w:line="276" w:lineRule="auto"/>
        <w:ind w:left="357"/>
        <w:contextualSpacing/>
        <w:jc w:val="both"/>
        <w:rPr>
          <w:rFonts w:ascii="Arial" w:hAnsi="Arial" w:cs="Arial"/>
          <w:color w:val="000000"/>
        </w:rPr>
      </w:pPr>
    </w:p>
    <w:p w14:paraId="5FB5104D" w14:textId="77777777" w:rsidR="00F60926" w:rsidRPr="00B73C92" w:rsidRDefault="00F60926" w:rsidP="00B914EE">
      <w:pPr>
        <w:pStyle w:val="ListParagraph"/>
        <w:numPr>
          <w:ilvl w:val="3"/>
          <w:numId w:val="28"/>
        </w:numPr>
        <w:ind w:left="567" w:hanging="567"/>
        <w:rPr>
          <w:rFonts w:ascii="Arial" w:hAnsi="Arial"/>
          <w:b/>
          <w:sz w:val="24"/>
        </w:rPr>
      </w:pPr>
      <w:r w:rsidRPr="00B73C92">
        <w:rPr>
          <w:rFonts w:ascii="Arial" w:hAnsi="Arial"/>
          <w:b/>
          <w:sz w:val="24"/>
        </w:rPr>
        <w:t xml:space="preserve">The </w:t>
      </w:r>
      <w:r w:rsidRPr="00B73C92">
        <w:rPr>
          <w:rFonts w:ascii="Arial" w:hAnsi="Arial"/>
          <w:b/>
          <w:sz w:val="24"/>
          <w:lang w:eastAsia="en-GB"/>
        </w:rPr>
        <w:t>right</w:t>
      </w:r>
      <w:r w:rsidRPr="00B73C92">
        <w:rPr>
          <w:rFonts w:ascii="Arial" w:hAnsi="Arial"/>
          <w:b/>
          <w:sz w:val="24"/>
        </w:rPr>
        <w:t xml:space="preserve"> to rectification</w:t>
      </w:r>
    </w:p>
    <w:p w14:paraId="403F481E" w14:textId="77777777" w:rsidR="00E77C78" w:rsidRPr="00032CF3" w:rsidRDefault="00F60926" w:rsidP="00CB5A05">
      <w:pPr>
        <w:pStyle w:val="NormalWeb"/>
        <w:shd w:val="clear" w:color="auto" w:fill="FFFFFF"/>
        <w:spacing w:before="0" w:after="0" w:line="276" w:lineRule="auto"/>
        <w:contextualSpacing/>
        <w:jc w:val="both"/>
        <w:rPr>
          <w:rFonts w:ascii="Arial" w:hAnsi="Arial" w:cs="Arial"/>
          <w:color w:val="000000"/>
        </w:rPr>
      </w:pPr>
      <w:r w:rsidRPr="00032CF3">
        <w:rPr>
          <w:rFonts w:ascii="Arial" w:hAnsi="Arial" w:cs="Arial"/>
          <w:color w:val="000000"/>
        </w:rPr>
        <w:t>Individuals have a right to have inaccurate personal data rectified, or completed if it is incomplete. These requests can be made verbally or in writing and organisations have one calendar month to respond. In certain circumstances, organisations can refuse</w:t>
      </w:r>
      <w:r w:rsidR="00CB5A05" w:rsidRPr="00032CF3">
        <w:rPr>
          <w:rFonts w:ascii="Arial" w:hAnsi="Arial" w:cs="Arial"/>
          <w:color w:val="000000"/>
        </w:rPr>
        <w:t xml:space="preserve"> a request for rectification. (</w:t>
      </w:r>
      <w:r w:rsidRPr="00032CF3">
        <w:rPr>
          <w:rFonts w:ascii="Arial" w:hAnsi="Arial" w:cs="Arial"/>
          <w:color w:val="000000"/>
        </w:rPr>
        <w:t>Note, this right is closely linked to controllers obligations under the accuracy principle of GDPR [Article (5) (1) (d)]</w:t>
      </w:r>
      <w:r w:rsidR="00E77C78" w:rsidRPr="00032CF3">
        <w:rPr>
          <w:rFonts w:ascii="Arial" w:hAnsi="Arial" w:cs="Arial"/>
          <w:color w:val="000000"/>
        </w:rPr>
        <w:t>.</w:t>
      </w:r>
    </w:p>
    <w:p w14:paraId="56BE8130" w14:textId="77777777" w:rsidR="00F60926" w:rsidRPr="00032CF3" w:rsidRDefault="00F60926" w:rsidP="00CB5A05">
      <w:pPr>
        <w:pStyle w:val="NormalWeb"/>
        <w:shd w:val="clear" w:color="auto" w:fill="FFFFFF"/>
        <w:spacing w:before="0" w:after="0" w:line="276" w:lineRule="auto"/>
        <w:contextualSpacing/>
        <w:jc w:val="both"/>
        <w:rPr>
          <w:rFonts w:ascii="Arial" w:hAnsi="Arial" w:cs="Arial"/>
          <w:color w:val="000000"/>
        </w:rPr>
      </w:pPr>
      <w:r w:rsidRPr="00032CF3">
        <w:rPr>
          <w:rFonts w:ascii="Arial" w:hAnsi="Arial" w:cs="Arial"/>
          <w:color w:val="000000"/>
        </w:rPr>
        <w:br/>
        <w:t>Please note the following relevant statements from the NHS Constitution (2013, 2015) and how this right may be applied:</w:t>
      </w:r>
    </w:p>
    <w:p w14:paraId="656EE38E" w14:textId="77777777" w:rsidR="00F60926" w:rsidRPr="00032CF3" w:rsidRDefault="00F60926" w:rsidP="00CB5A05">
      <w:pPr>
        <w:pStyle w:val="NormalWeb"/>
        <w:shd w:val="clear" w:color="auto" w:fill="FFFFFF"/>
        <w:spacing w:before="0" w:after="0" w:line="276" w:lineRule="auto"/>
        <w:contextualSpacing/>
        <w:jc w:val="both"/>
        <w:rPr>
          <w:rFonts w:ascii="Arial" w:hAnsi="Arial" w:cs="Arial"/>
          <w:color w:val="000000"/>
        </w:rPr>
      </w:pPr>
    </w:p>
    <w:p w14:paraId="6A1CA59C" w14:textId="77777777" w:rsidR="00E77C78" w:rsidRPr="00032CF3" w:rsidRDefault="00F60926" w:rsidP="00CB5A05">
      <w:pPr>
        <w:pStyle w:val="NormalWeb"/>
        <w:shd w:val="clear" w:color="auto" w:fill="FFFFFF"/>
        <w:spacing w:before="0" w:after="0" w:line="276" w:lineRule="auto"/>
        <w:contextualSpacing/>
        <w:jc w:val="both"/>
        <w:rPr>
          <w:rFonts w:ascii="Arial" w:hAnsi="Arial" w:cs="Arial"/>
          <w:i/>
          <w:color w:val="000000"/>
        </w:rPr>
      </w:pPr>
      <w:r w:rsidRPr="00032CF3">
        <w:rPr>
          <w:rFonts w:ascii="Arial" w:hAnsi="Arial" w:cs="Arial"/>
          <w:i/>
          <w:color w:val="000000"/>
        </w:rPr>
        <w:t>“You have the right to have any factual inaccuracies corrected. Ask your health professional about amending your records if you believe they contain a factual error.”</w:t>
      </w:r>
    </w:p>
    <w:p w14:paraId="680A4882" w14:textId="77777777" w:rsidR="00F60926" w:rsidRPr="00032CF3" w:rsidRDefault="00F60926" w:rsidP="00CB5A05">
      <w:pPr>
        <w:pStyle w:val="NormalWeb"/>
        <w:shd w:val="clear" w:color="auto" w:fill="FFFFFF"/>
        <w:spacing w:before="0" w:after="0" w:line="276" w:lineRule="auto"/>
        <w:contextualSpacing/>
        <w:jc w:val="both"/>
        <w:rPr>
          <w:rFonts w:ascii="Arial" w:hAnsi="Arial" w:cs="Arial"/>
          <w:i/>
          <w:color w:val="000000"/>
        </w:rPr>
      </w:pPr>
    </w:p>
    <w:p w14:paraId="6D8C8036" w14:textId="77777777" w:rsidR="00F60926" w:rsidRPr="00032CF3" w:rsidRDefault="00F60926" w:rsidP="00CB5A05">
      <w:pPr>
        <w:pStyle w:val="NormalWeb"/>
        <w:shd w:val="clear" w:color="auto" w:fill="FFFFFF"/>
        <w:spacing w:before="0" w:after="0" w:line="276" w:lineRule="auto"/>
        <w:jc w:val="both"/>
        <w:rPr>
          <w:rFonts w:ascii="Arial" w:hAnsi="Arial" w:cs="Arial"/>
          <w:i/>
          <w:color w:val="000000"/>
        </w:rPr>
      </w:pPr>
      <w:r w:rsidRPr="00032CF3">
        <w:rPr>
          <w:rFonts w:ascii="Arial" w:hAnsi="Arial" w:cs="Arial"/>
          <w:i/>
          <w:color w:val="000000"/>
        </w:rPr>
        <w:t xml:space="preserve">“There is no obligation to amend professional opinion however sometimes it is difficult to distinguish between fact and opinion. Where you and the health professional cannot agree on whether the information in question is accurate, you can ask that a statement is included to set out that the accuracy of the information is disputed by you” </w:t>
      </w:r>
    </w:p>
    <w:p w14:paraId="421F816B" w14:textId="77777777" w:rsidR="00E77C78" w:rsidRPr="00032CF3" w:rsidRDefault="00F60926" w:rsidP="00CB5A05">
      <w:pPr>
        <w:pStyle w:val="NormalWeb"/>
        <w:shd w:val="clear" w:color="auto" w:fill="FFFFFF"/>
        <w:spacing w:before="0" w:after="0" w:line="276" w:lineRule="auto"/>
        <w:jc w:val="both"/>
        <w:rPr>
          <w:rFonts w:ascii="Arial" w:hAnsi="Arial" w:cs="Arial"/>
          <w:color w:val="000000"/>
        </w:rPr>
      </w:pPr>
      <w:r w:rsidRPr="00032CF3">
        <w:rPr>
          <w:rFonts w:ascii="Arial" w:hAnsi="Arial" w:cs="Arial"/>
          <w:color w:val="000000"/>
        </w:rPr>
        <w:t xml:space="preserve">(pg 56) The Handbook to the NHS Constitution 2013: </w:t>
      </w:r>
    </w:p>
    <w:p w14:paraId="4DB4ABA1" w14:textId="77777777" w:rsidR="00F60926" w:rsidRPr="00032CF3" w:rsidRDefault="00EF15FC" w:rsidP="00CB5A05">
      <w:pPr>
        <w:pStyle w:val="NormalWeb"/>
        <w:shd w:val="clear" w:color="auto" w:fill="FFFFFF"/>
        <w:spacing w:before="0" w:after="0" w:line="276" w:lineRule="auto"/>
        <w:jc w:val="both"/>
        <w:rPr>
          <w:rFonts w:ascii="Arial" w:hAnsi="Arial" w:cs="Arial"/>
          <w:color w:val="000000"/>
        </w:rPr>
      </w:pPr>
      <w:hyperlink r:id="rId55" w:history="1">
        <w:r w:rsidR="00E77C78" w:rsidRPr="00032CF3">
          <w:rPr>
            <w:rStyle w:val="Hyperlink"/>
            <w:rFonts w:ascii="Arial" w:hAnsi="Arial" w:cs="Arial"/>
          </w:rPr>
          <w:t>https://assets.publishing.service.gov.uk/government/uploads/system/uploads/attachment_data/file/170649/Handbook_to_the_NHS_Constitution.pdf</w:t>
        </w:r>
      </w:hyperlink>
    </w:p>
    <w:p w14:paraId="27291D73" w14:textId="77777777" w:rsidR="00E77C78" w:rsidRPr="00032CF3" w:rsidRDefault="00E77C78" w:rsidP="00CB5A05">
      <w:pPr>
        <w:pStyle w:val="NormalWeb"/>
        <w:shd w:val="clear" w:color="auto" w:fill="FFFFFF"/>
        <w:spacing w:before="0" w:after="0" w:line="276" w:lineRule="auto"/>
        <w:jc w:val="both"/>
        <w:rPr>
          <w:rFonts w:ascii="Arial" w:hAnsi="Arial" w:cs="Arial"/>
          <w:color w:val="000000"/>
        </w:rPr>
      </w:pPr>
    </w:p>
    <w:p w14:paraId="6F5B9612" w14:textId="77777777" w:rsidR="00E77C78" w:rsidRPr="00032CF3" w:rsidRDefault="00F60926" w:rsidP="00CB5A05">
      <w:pPr>
        <w:pStyle w:val="NormalWeb"/>
        <w:shd w:val="clear" w:color="auto" w:fill="FFFFFF"/>
        <w:spacing w:before="0" w:after="0" w:line="276" w:lineRule="auto"/>
        <w:jc w:val="both"/>
        <w:rPr>
          <w:rFonts w:ascii="Arial" w:hAnsi="Arial" w:cs="Arial"/>
          <w:i/>
        </w:rPr>
      </w:pPr>
      <w:r w:rsidRPr="00032CF3">
        <w:rPr>
          <w:rFonts w:ascii="Arial" w:hAnsi="Arial" w:cs="Arial"/>
        </w:rPr>
        <w:t>The NHS Handbook 2015 states that: “</w:t>
      </w:r>
      <w:r w:rsidRPr="00032CF3">
        <w:rPr>
          <w:rFonts w:ascii="Arial" w:hAnsi="Arial" w:cs="Arial"/>
          <w:i/>
        </w:rPr>
        <w:t xml:space="preserve">You have the right of access to your own health records and to have any factual inaccuracies corrected.” </w:t>
      </w:r>
    </w:p>
    <w:p w14:paraId="279933D1" w14:textId="77777777" w:rsidR="00F60926" w:rsidRPr="00032CF3" w:rsidRDefault="00F60926" w:rsidP="00CB5A05">
      <w:pPr>
        <w:pStyle w:val="NormalWeb"/>
        <w:shd w:val="clear" w:color="auto" w:fill="FFFFFF"/>
        <w:spacing w:before="0" w:after="0" w:line="276" w:lineRule="auto"/>
        <w:jc w:val="both"/>
        <w:rPr>
          <w:rFonts w:ascii="Arial" w:hAnsi="Arial" w:cs="Arial"/>
          <w:color w:val="000000"/>
        </w:rPr>
      </w:pPr>
      <w:r w:rsidRPr="00032CF3">
        <w:rPr>
          <w:rFonts w:ascii="Arial" w:hAnsi="Arial" w:cs="Arial"/>
          <w:color w:val="000000"/>
        </w:rPr>
        <w:t xml:space="preserve">Ref: (pg8) The Handbook to the NHS Constitution 2015 </w:t>
      </w:r>
      <w:hyperlink r:id="rId56" w:history="1">
        <w:r w:rsidRPr="00032CF3">
          <w:rPr>
            <w:rStyle w:val="Hyperlink"/>
            <w:rFonts w:ascii="Arial" w:hAnsi="Arial" w:cs="Arial"/>
          </w:rPr>
          <w:t>https://assets.publishing.service.gov.uk/government/uploads/system/uploads/attachment_data/file/480482/NHS_Constitution_WEB.pdf</w:t>
        </w:r>
      </w:hyperlink>
    </w:p>
    <w:p w14:paraId="3B659565" w14:textId="77777777" w:rsidR="00E77C78" w:rsidRPr="00032CF3" w:rsidRDefault="00E77C78" w:rsidP="00CB5A05">
      <w:pPr>
        <w:pStyle w:val="NormalWeb"/>
        <w:shd w:val="clear" w:color="auto" w:fill="FFFFFF"/>
        <w:spacing w:before="0" w:after="0" w:line="276" w:lineRule="auto"/>
        <w:jc w:val="both"/>
        <w:rPr>
          <w:rFonts w:ascii="Arial" w:hAnsi="Arial" w:cs="Arial"/>
          <w:color w:val="000000"/>
        </w:rPr>
      </w:pPr>
    </w:p>
    <w:p w14:paraId="43210D92" w14:textId="77777777" w:rsidR="00ED465D" w:rsidRPr="00032CF3" w:rsidRDefault="00ED465D">
      <w:pPr>
        <w:spacing w:before="0" w:after="160" w:line="259" w:lineRule="auto"/>
        <w:rPr>
          <w:rFonts w:cs="Arial"/>
          <w:b/>
          <w:bCs w:val="0"/>
          <w:color w:val="000000"/>
          <w:szCs w:val="24"/>
          <w:lang w:eastAsia="en-GB"/>
        </w:rPr>
      </w:pPr>
      <w:r w:rsidRPr="00032CF3">
        <w:rPr>
          <w:rFonts w:cs="Arial"/>
          <w:b/>
          <w:color w:val="000000"/>
          <w:lang w:eastAsia="en-GB"/>
        </w:rPr>
        <w:br w:type="page"/>
      </w:r>
    </w:p>
    <w:p w14:paraId="6612779F" w14:textId="77777777" w:rsidR="00F60926" w:rsidRPr="00032CF3" w:rsidRDefault="00F60926" w:rsidP="00B914EE">
      <w:pPr>
        <w:pStyle w:val="NormalWeb"/>
        <w:numPr>
          <w:ilvl w:val="0"/>
          <w:numId w:val="28"/>
        </w:numPr>
        <w:shd w:val="clear" w:color="auto" w:fill="FFFFFF"/>
        <w:spacing w:before="0" w:after="0" w:line="276" w:lineRule="auto"/>
        <w:contextualSpacing/>
        <w:jc w:val="both"/>
        <w:rPr>
          <w:rFonts w:ascii="Arial" w:hAnsi="Arial" w:cs="Arial"/>
          <w:b/>
          <w:color w:val="000000"/>
        </w:rPr>
      </w:pPr>
      <w:r w:rsidRPr="00032CF3">
        <w:rPr>
          <w:rFonts w:ascii="Arial" w:eastAsia="Times New Roman" w:hAnsi="Arial" w:cs="Arial"/>
          <w:b/>
          <w:color w:val="000000"/>
          <w:lang w:eastAsia="en-GB"/>
        </w:rPr>
        <w:lastRenderedPageBreak/>
        <w:t xml:space="preserve">The </w:t>
      </w:r>
      <w:r w:rsidRPr="00032CF3">
        <w:rPr>
          <w:rFonts w:ascii="Arial" w:hAnsi="Arial" w:cs="Arial"/>
          <w:b/>
          <w:szCs w:val="22"/>
        </w:rPr>
        <w:t>right</w:t>
      </w:r>
      <w:r w:rsidRPr="00032CF3">
        <w:rPr>
          <w:rFonts w:ascii="Arial" w:eastAsia="Times New Roman" w:hAnsi="Arial" w:cs="Arial"/>
          <w:b/>
          <w:color w:val="000000"/>
          <w:lang w:eastAsia="en-GB"/>
        </w:rPr>
        <w:t xml:space="preserve"> to erasure</w:t>
      </w:r>
    </w:p>
    <w:p w14:paraId="6D8409F1" w14:textId="77777777" w:rsidR="00F60926" w:rsidRPr="00032CF3" w:rsidRDefault="00F60926" w:rsidP="00CB5A05">
      <w:pPr>
        <w:pStyle w:val="NormalWeb"/>
        <w:shd w:val="clear" w:color="auto" w:fill="FFFFFF"/>
        <w:spacing w:before="0" w:after="0" w:line="276" w:lineRule="auto"/>
        <w:contextualSpacing/>
        <w:jc w:val="both"/>
        <w:rPr>
          <w:rFonts w:ascii="Arial" w:hAnsi="Arial" w:cs="Arial"/>
          <w:color w:val="000000"/>
        </w:rPr>
      </w:pPr>
      <w:r w:rsidRPr="00032CF3">
        <w:rPr>
          <w:rFonts w:ascii="Arial" w:hAnsi="Arial" w:cs="Arial"/>
          <w:color w:val="000000"/>
        </w:rPr>
        <w:t xml:space="preserve">Individuals have a right to have </w:t>
      </w:r>
      <w:r w:rsidR="00762B59" w:rsidRPr="00032CF3">
        <w:rPr>
          <w:rFonts w:ascii="Arial" w:hAnsi="Arial" w:cs="Arial"/>
          <w:color w:val="000000"/>
        </w:rPr>
        <w:t xml:space="preserve">certain </w:t>
      </w:r>
      <w:r w:rsidRPr="00032CF3">
        <w:rPr>
          <w:rFonts w:ascii="Arial" w:hAnsi="Arial" w:cs="Arial"/>
          <w:color w:val="000000"/>
        </w:rPr>
        <w:t xml:space="preserve">personal data erased commonly known as “the right to be forgotten”. This request can be made verbally or in writing. Organisations have one month to respond to a request. This right is </w:t>
      </w:r>
      <w:r w:rsidRPr="00032CF3">
        <w:rPr>
          <w:rFonts w:ascii="Arial" w:hAnsi="Arial" w:cs="Arial"/>
          <w:b/>
          <w:color w:val="000000"/>
          <w:u w:val="single"/>
        </w:rPr>
        <w:t>not</w:t>
      </w:r>
      <w:r w:rsidRPr="00032CF3">
        <w:rPr>
          <w:rFonts w:ascii="Arial" w:hAnsi="Arial" w:cs="Arial"/>
          <w:b/>
          <w:color w:val="000000"/>
        </w:rPr>
        <w:t xml:space="preserve"> </w:t>
      </w:r>
      <w:r w:rsidRPr="00032CF3">
        <w:rPr>
          <w:rFonts w:ascii="Arial" w:hAnsi="Arial" w:cs="Arial"/>
          <w:color w:val="000000"/>
        </w:rPr>
        <w:t>an absolute and only applies in certain circumstances</w:t>
      </w:r>
      <w:r w:rsidR="00CB5A05" w:rsidRPr="00032CF3">
        <w:rPr>
          <w:rFonts w:ascii="Arial" w:hAnsi="Arial" w:cs="Arial"/>
          <w:color w:val="000000"/>
        </w:rPr>
        <w:t>.</w:t>
      </w:r>
      <w:r w:rsidR="00762B59" w:rsidRPr="00032CF3">
        <w:rPr>
          <w:rFonts w:ascii="Arial" w:hAnsi="Arial" w:cs="Arial"/>
          <w:color w:val="000000"/>
        </w:rPr>
        <w:t xml:space="preserve"> </w:t>
      </w:r>
      <w:r w:rsidR="00762B59" w:rsidRPr="00032CF3">
        <w:rPr>
          <w:rFonts w:ascii="Arial" w:hAnsi="Arial" w:cs="Arial"/>
        </w:rPr>
        <w:t xml:space="preserve"> </w:t>
      </w:r>
      <w:r w:rsidR="00762B59" w:rsidRPr="00032CF3">
        <w:rPr>
          <w:rFonts w:ascii="Arial" w:hAnsi="Arial" w:cs="Arial"/>
          <w:color w:val="000000"/>
        </w:rPr>
        <w:t>The NHS European Office explain that “the right to be forgotten and erasure of data does not apply to an individual’s health record, or for public health purposes or research purposes.” Clinicians may advise patients that certain data cannot be removed because it allows continuity of care for their wellbeing. An alternative is that where appropriate</w:t>
      </w:r>
    </w:p>
    <w:p w14:paraId="7D7E5410" w14:textId="77777777" w:rsidR="00CB5A05" w:rsidRPr="00032CF3" w:rsidRDefault="00CB5A05" w:rsidP="00CB5A05">
      <w:pPr>
        <w:pStyle w:val="NormalWeb"/>
        <w:shd w:val="clear" w:color="auto" w:fill="FFFFFF"/>
        <w:spacing w:before="0" w:after="0" w:line="276" w:lineRule="auto"/>
        <w:contextualSpacing/>
        <w:jc w:val="both"/>
        <w:rPr>
          <w:rFonts w:ascii="Arial" w:hAnsi="Arial" w:cs="Arial"/>
          <w:color w:val="000000"/>
        </w:rPr>
      </w:pPr>
    </w:p>
    <w:p w14:paraId="726BF135" w14:textId="77777777" w:rsidR="00F60926" w:rsidRPr="00032CF3" w:rsidRDefault="00F60926"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t xml:space="preserve">Relevant </w:t>
      </w:r>
      <w:r w:rsidRPr="00032CF3">
        <w:rPr>
          <w:rFonts w:cs="Arial"/>
          <w:b/>
          <w:color w:val="000000"/>
          <w:szCs w:val="24"/>
          <w:lang w:eastAsia="en-GB"/>
        </w:rPr>
        <w:t>exemptions</w:t>
      </w:r>
      <w:r w:rsidRPr="00032CF3">
        <w:rPr>
          <w:rFonts w:cs="Arial"/>
          <w:color w:val="000000"/>
          <w:szCs w:val="24"/>
          <w:lang w:eastAsia="en-GB"/>
        </w:rPr>
        <w:t xml:space="preserve"> include if the data collection took place to comply with legal obligations or in the exercise of official authority for the public interest. </w:t>
      </w:r>
    </w:p>
    <w:p w14:paraId="321160C9" w14:textId="77777777" w:rsidR="00CB5A05" w:rsidRPr="00032CF3" w:rsidRDefault="00CB5A05" w:rsidP="00CB5A05">
      <w:pPr>
        <w:shd w:val="clear" w:color="auto" w:fill="FFFFFF"/>
        <w:spacing w:before="0" w:after="0" w:line="276" w:lineRule="auto"/>
        <w:jc w:val="both"/>
        <w:rPr>
          <w:rFonts w:cs="Arial"/>
          <w:color w:val="000000"/>
          <w:szCs w:val="24"/>
          <w:lang w:eastAsia="en-GB"/>
        </w:rPr>
      </w:pPr>
    </w:p>
    <w:p w14:paraId="5FBAD376" w14:textId="77777777" w:rsidR="00F60926" w:rsidRPr="00032CF3" w:rsidRDefault="00F60926"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t>A general public interest exemption also exists for archiving purposes in the public interest and, for scientific research purposes and statistical purposes as well</w:t>
      </w:r>
    </w:p>
    <w:p w14:paraId="1D4F4AE8" w14:textId="77777777" w:rsidR="00957A71" w:rsidRPr="00032CF3" w:rsidRDefault="00957A71" w:rsidP="00CB5A05">
      <w:pPr>
        <w:shd w:val="clear" w:color="auto" w:fill="FFFFFF"/>
        <w:spacing w:before="0" w:after="0" w:line="276" w:lineRule="auto"/>
        <w:jc w:val="both"/>
        <w:rPr>
          <w:rFonts w:cs="Arial"/>
          <w:color w:val="000000"/>
          <w:szCs w:val="24"/>
          <w:lang w:eastAsia="en-GB"/>
        </w:rPr>
      </w:pPr>
    </w:p>
    <w:p w14:paraId="05F9757C" w14:textId="77777777" w:rsidR="00957A71" w:rsidRPr="00032CF3" w:rsidRDefault="00957A71"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t xml:space="preserve">This right only applies where data is processed under consent. </w:t>
      </w:r>
    </w:p>
    <w:p w14:paraId="4E1CC94C" w14:textId="77777777" w:rsidR="00E77C78" w:rsidRPr="00032CF3" w:rsidRDefault="00E77C78" w:rsidP="00CB5A05">
      <w:pPr>
        <w:shd w:val="clear" w:color="auto" w:fill="FFFFFF"/>
        <w:spacing w:before="0" w:after="0" w:line="276" w:lineRule="auto"/>
        <w:jc w:val="both"/>
        <w:rPr>
          <w:rFonts w:cs="Arial"/>
          <w:color w:val="000000"/>
          <w:szCs w:val="24"/>
          <w:lang w:eastAsia="en-GB"/>
        </w:rPr>
      </w:pPr>
    </w:p>
    <w:p w14:paraId="41634BBD" w14:textId="77777777" w:rsidR="00F60926" w:rsidRPr="00032CF3" w:rsidRDefault="00F60926" w:rsidP="00B914EE">
      <w:pPr>
        <w:pStyle w:val="ListParagraph"/>
        <w:numPr>
          <w:ilvl w:val="0"/>
          <w:numId w:val="28"/>
        </w:numPr>
        <w:rPr>
          <w:rFonts w:ascii="Arial" w:hAnsi="Arial"/>
          <w:b/>
          <w:sz w:val="24"/>
          <w:lang w:eastAsia="en-GB"/>
        </w:rPr>
      </w:pPr>
      <w:r w:rsidRPr="00032CF3">
        <w:rPr>
          <w:rFonts w:ascii="Arial" w:hAnsi="Arial"/>
          <w:b/>
          <w:sz w:val="24"/>
          <w:lang w:eastAsia="en-GB"/>
        </w:rPr>
        <w:t>The right to restrict processing</w:t>
      </w:r>
    </w:p>
    <w:p w14:paraId="195D776A" w14:textId="77777777" w:rsidR="00F60926" w:rsidRPr="00032CF3" w:rsidRDefault="00F60926" w:rsidP="00CB5A05">
      <w:pPr>
        <w:pStyle w:val="ListParagraph"/>
        <w:numPr>
          <w:ilvl w:val="0"/>
          <w:numId w:val="0"/>
        </w:numPr>
        <w:shd w:val="clear" w:color="auto" w:fill="FFFFFF"/>
        <w:spacing w:before="0" w:after="0" w:line="276" w:lineRule="auto"/>
        <w:rPr>
          <w:rFonts w:ascii="Arial" w:eastAsia="Times New Roman" w:hAnsi="Arial"/>
          <w:b/>
          <w:color w:val="000000"/>
          <w:sz w:val="24"/>
          <w:szCs w:val="24"/>
          <w:lang w:eastAsia="en-GB"/>
        </w:rPr>
      </w:pPr>
      <w:r w:rsidRPr="00032CF3">
        <w:rPr>
          <w:rFonts w:ascii="Arial" w:eastAsia="Times New Roman" w:hAnsi="Arial"/>
          <w:color w:val="000000"/>
          <w:sz w:val="24"/>
          <w:szCs w:val="24"/>
          <w:lang w:eastAsia="en-GB"/>
        </w:rPr>
        <w:t xml:space="preserve">Individuals have the right to request the restriction or suppression of their personal data. This request can be made verbally or in writing. Organisations have one calendar month to respond to a request. This is not an absolute right and only applies in certain circumstances. When processing is restricted, organisations are permitted to store the data but not use it. </w:t>
      </w:r>
    </w:p>
    <w:p w14:paraId="31BAEA9C" w14:textId="77777777" w:rsidR="00CB5A05" w:rsidRPr="00032CF3" w:rsidRDefault="00CB5A05" w:rsidP="00CB5A05">
      <w:pPr>
        <w:shd w:val="clear" w:color="auto" w:fill="FFFFFF"/>
        <w:spacing w:before="0" w:after="0" w:line="276" w:lineRule="auto"/>
        <w:jc w:val="both"/>
        <w:rPr>
          <w:rFonts w:cs="Arial"/>
          <w:color w:val="000000"/>
          <w:szCs w:val="24"/>
          <w:lang w:eastAsia="en-GB"/>
        </w:rPr>
      </w:pPr>
    </w:p>
    <w:p w14:paraId="6AC738FD" w14:textId="77777777" w:rsidR="00F60926" w:rsidRPr="00032CF3" w:rsidRDefault="00F60926"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t>This right has close links to the right to rectification (Article 16) and the right to object (Article 21)</w:t>
      </w:r>
      <w:r w:rsidR="00CB5A05" w:rsidRPr="00032CF3">
        <w:rPr>
          <w:rFonts w:cs="Arial"/>
          <w:color w:val="000000"/>
          <w:szCs w:val="24"/>
          <w:lang w:eastAsia="en-GB"/>
        </w:rPr>
        <w:t>.</w:t>
      </w:r>
    </w:p>
    <w:p w14:paraId="77E22556" w14:textId="77777777" w:rsidR="00CB5A05" w:rsidRPr="00032CF3" w:rsidRDefault="00CB5A05" w:rsidP="00CB5A05">
      <w:pPr>
        <w:shd w:val="clear" w:color="auto" w:fill="FFFFFF"/>
        <w:spacing w:before="0" w:after="0" w:line="276" w:lineRule="auto"/>
        <w:jc w:val="both"/>
        <w:rPr>
          <w:rFonts w:cs="Arial"/>
          <w:color w:val="000000"/>
          <w:szCs w:val="24"/>
          <w:lang w:eastAsia="en-GB"/>
        </w:rPr>
      </w:pPr>
    </w:p>
    <w:p w14:paraId="39BF55F2" w14:textId="77777777" w:rsidR="00F60926" w:rsidRPr="00032CF3" w:rsidRDefault="00F60926" w:rsidP="00B914EE">
      <w:pPr>
        <w:numPr>
          <w:ilvl w:val="0"/>
          <w:numId w:val="28"/>
        </w:numPr>
        <w:shd w:val="clear" w:color="auto" w:fill="FFFFFF"/>
        <w:spacing w:before="0" w:after="0" w:line="276" w:lineRule="auto"/>
        <w:contextualSpacing/>
        <w:jc w:val="both"/>
        <w:rPr>
          <w:rFonts w:cs="Arial"/>
          <w:b/>
          <w:color w:val="000000"/>
          <w:szCs w:val="24"/>
          <w:lang w:eastAsia="en-GB"/>
        </w:rPr>
      </w:pPr>
      <w:r w:rsidRPr="00032CF3">
        <w:rPr>
          <w:rFonts w:cs="Arial"/>
          <w:b/>
          <w:color w:val="000000"/>
          <w:szCs w:val="24"/>
          <w:lang w:eastAsia="en-GB"/>
        </w:rPr>
        <w:t>The right to data portability</w:t>
      </w:r>
    </w:p>
    <w:p w14:paraId="7C50E892" w14:textId="77777777" w:rsidR="002F1BD1" w:rsidRPr="00032CF3" w:rsidRDefault="00F60926" w:rsidP="00CB5A05">
      <w:pPr>
        <w:shd w:val="clear" w:color="auto" w:fill="FFFFFF"/>
        <w:spacing w:before="0" w:after="0" w:line="276" w:lineRule="auto"/>
        <w:contextualSpacing/>
        <w:jc w:val="both"/>
        <w:rPr>
          <w:rFonts w:cs="Arial"/>
          <w:color w:val="000000"/>
          <w:szCs w:val="24"/>
          <w:lang w:eastAsia="en-GB"/>
        </w:rPr>
      </w:pPr>
      <w:r w:rsidRPr="00032CF3">
        <w:rPr>
          <w:rFonts w:cs="Arial"/>
          <w:color w:val="000000"/>
          <w:szCs w:val="24"/>
          <w:lang w:eastAsia="en-GB"/>
        </w:rPr>
        <w:t>This right allows individuals to obtain and reuse their personal data for their own purposes across different services. It allows them to move,</w:t>
      </w:r>
      <w:r w:rsidR="00CF402A" w:rsidRPr="00032CF3">
        <w:rPr>
          <w:rFonts w:cs="Arial"/>
          <w:color w:val="000000"/>
          <w:szCs w:val="24"/>
          <w:lang w:eastAsia="en-GB"/>
        </w:rPr>
        <w:t xml:space="preserve"> copy or transfer personal dat</w:t>
      </w:r>
      <w:r w:rsidR="00E920B7" w:rsidRPr="00032CF3">
        <w:rPr>
          <w:rFonts w:cs="Arial"/>
          <w:color w:val="000000"/>
          <w:szCs w:val="24"/>
          <w:lang w:eastAsia="en-GB"/>
        </w:rPr>
        <w:t>a</w:t>
      </w:r>
      <w:r w:rsidR="00CF402A" w:rsidRPr="00032CF3">
        <w:rPr>
          <w:rFonts w:cs="Arial"/>
          <w:color w:val="000000"/>
          <w:szCs w:val="24"/>
          <w:lang w:eastAsia="en-GB"/>
        </w:rPr>
        <w:t xml:space="preserve"> </w:t>
      </w:r>
      <w:r w:rsidRPr="00032CF3">
        <w:rPr>
          <w:rFonts w:cs="Arial"/>
          <w:color w:val="000000"/>
          <w:szCs w:val="24"/>
          <w:lang w:eastAsia="en-GB"/>
        </w:rPr>
        <w:t>easily from one IT environment to another in a safe and secure manner, without affecting its usability. This right only applies to information that the individual has provided to the controller.</w:t>
      </w:r>
    </w:p>
    <w:p w14:paraId="46F72A11" w14:textId="77777777" w:rsidR="00F60926" w:rsidRPr="00032CF3" w:rsidRDefault="00F60926" w:rsidP="00CB5A05">
      <w:pPr>
        <w:shd w:val="clear" w:color="auto" w:fill="FFFFFF"/>
        <w:spacing w:before="0" w:after="0" w:line="276" w:lineRule="auto"/>
        <w:contextualSpacing/>
        <w:jc w:val="both"/>
        <w:rPr>
          <w:rFonts w:cs="Arial"/>
          <w:color w:val="000000"/>
          <w:szCs w:val="24"/>
          <w:lang w:eastAsia="en-GB"/>
        </w:rPr>
      </w:pPr>
    </w:p>
    <w:p w14:paraId="13159FED" w14:textId="77777777" w:rsidR="00F60926" w:rsidRPr="00032CF3" w:rsidRDefault="00EF4E34" w:rsidP="00CB5A05">
      <w:pPr>
        <w:shd w:val="clear" w:color="auto" w:fill="FFFFFF"/>
        <w:spacing w:before="0" w:after="0" w:line="276" w:lineRule="auto"/>
        <w:jc w:val="both"/>
        <w:rPr>
          <w:rFonts w:cs="Arial"/>
          <w:color w:val="000000"/>
          <w:szCs w:val="24"/>
        </w:rPr>
      </w:pPr>
      <w:r>
        <w:rPr>
          <w:rFonts w:cs="Arial"/>
          <w:b/>
          <w:color w:val="000000"/>
          <w:szCs w:val="24"/>
        </w:rPr>
        <w:t>Please note</w:t>
      </w:r>
      <w:r w:rsidR="00EA7638" w:rsidRPr="00032CF3">
        <w:rPr>
          <w:rFonts w:cs="Arial"/>
          <w:color w:val="000000"/>
          <w:szCs w:val="24"/>
        </w:rPr>
        <w:t xml:space="preserve"> this applies if the data processing is automated, and the legal justification is consent.  I.e.</w:t>
      </w:r>
      <w:r>
        <w:rPr>
          <w:rFonts w:cs="Arial"/>
          <w:color w:val="000000"/>
          <w:szCs w:val="24"/>
        </w:rPr>
        <w:t xml:space="preserve"> </w:t>
      </w:r>
      <w:r w:rsidR="00F60926" w:rsidRPr="00032CF3">
        <w:rPr>
          <w:rFonts w:cs="Arial"/>
          <w:color w:val="000000"/>
          <w:szCs w:val="24"/>
        </w:rPr>
        <w:t>where the organisation’s lawful basis is public interest (task) then rights of portability do not apply.</w:t>
      </w:r>
    </w:p>
    <w:p w14:paraId="3FA50118" w14:textId="77777777" w:rsidR="00CB5A05" w:rsidRPr="00032CF3" w:rsidRDefault="00CB5A05" w:rsidP="00CB5A05">
      <w:pPr>
        <w:shd w:val="clear" w:color="auto" w:fill="FFFFFF"/>
        <w:spacing w:before="0" w:after="0" w:line="276" w:lineRule="auto"/>
        <w:jc w:val="both"/>
        <w:rPr>
          <w:rFonts w:eastAsiaTheme="minorHAnsi" w:cs="Arial"/>
          <w:color w:val="000000"/>
          <w:szCs w:val="24"/>
        </w:rPr>
      </w:pPr>
    </w:p>
    <w:p w14:paraId="3827BFD3" w14:textId="77777777" w:rsidR="00E77C78" w:rsidRPr="00032CF3" w:rsidRDefault="0002604B" w:rsidP="00B914EE">
      <w:pPr>
        <w:numPr>
          <w:ilvl w:val="0"/>
          <w:numId w:val="28"/>
        </w:numPr>
        <w:shd w:val="clear" w:color="auto" w:fill="FFFFFF"/>
        <w:spacing w:before="0" w:after="0" w:line="276" w:lineRule="auto"/>
        <w:ind w:left="0" w:firstLine="0"/>
        <w:jc w:val="both"/>
        <w:rPr>
          <w:rFonts w:cs="Arial"/>
          <w:b/>
          <w:color w:val="000000"/>
          <w:szCs w:val="24"/>
          <w:lang w:eastAsia="en-GB"/>
        </w:rPr>
      </w:pPr>
      <w:r w:rsidRPr="00032CF3">
        <w:rPr>
          <w:rFonts w:cs="Arial"/>
          <w:b/>
          <w:color w:val="000000"/>
          <w:szCs w:val="24"/>
          <w:lang w:eastAsia="en-GB"/>
        </w:rPr>
        <w:tab/>
      </w:r>
      <w:r w:rsidR="00F60926" w:rsidRPr="00032CF3">
        <w:rPr>
          <w:rFonts w:cs="Arial"/>
          <w:b/>
          <w:color w:val="000000"/>
          <w:szCs w:val="24"/>
          <w:lang w:eastAsia="en-GB"/>
        </w:rPr>
        <w:t>The right to object</w:t>
      </w:r>
    </w:p>
    <w:p w14:paraId="67F6CDC7" w14:textId="77777777" w:rsidR="00F60926" w:rsidRPr="00032CF3" w:rsidRDefault="00F60926" w:rsidP="00CB5A05">
      <w:pPr>
        <w:shd w:val="clear" w:color="auto" w:fill="FFFFFF"/>
        <w:spacing w:before="0" w:after="0" w:line="276" w:lineRule="auto"/>
        <w:jc w:val="both"/>
        <w:rPr>
          <w:rFonts w:cs="Arial"/>
          <w:b/>
          <w:color w:val="000000"/>
          <w:szCs w:val="24"/>
          <w:lang w:eastAsia="en-GB"/>
        </w:rPr>
      </w:pPr>
      <w:r w:rsidRPr="00032CF3">
        <w:rPr>
          <w:rFonts w:cs="Arial"/>
          <w:color w:val="000000"/>
          <w:szCs w:val="24"/>
          <w:lang w:eastAsia="en-GB"/>
        </w:rPr>
        <w:t xml:space="preserve">Individuals have the right to object to the processing of their personal data in certain circumstances. Individuals have an absolute right to stop their data being used for direct marketing. They can make this objection verbally or in writing and organisations have one calendar month to respond to an objection. </w:t>
      </w:r>
    </w:p>
    <w:p w14:paraId="02413A1E" w14:textId="77777777" w:rsidR="00CB5A05" w:rsidRPr="00032CF3" w:rsidRDefault="00CB5A05" w:rsidP="00CB5A05">
      <w:pPr>
        <w:shd w:val="clear" w:color="auto" w:fill="FFFFFF"/>
        <w:spacing w:before="0" w:after="0" w:line="276" w:lineRule="auto"/>
        <w:jc w:val="both"/>
        <w:rPr>
          <w:rFonts w:cs="Arial"/>
          <w:color w:val="000000"/>
          <w:szCs w:val="24"/>
          <w:lang w:eastAsia="en-GB"/>
        </w:rPr>
      </w:pPr>
    </w:p>
    <w:p w14:paraId="1B5F36D1" w14:textId="77777777" w:rsidR="00F60926" w:rsidRPr="00032CF3" w:rsidRDefault="00F60926"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t xml:space="preserve">There are other cases where organisations can continue processing the data, if they show that they have a compelling reason for doing so. </w:t>
      </w:r>
    </w:p>
    <w:p w14:paraId="2EC69FF5" w14:textId="4421B6F1" w:rsidR="00CB5A05" w:rsidRDefault="00CB5A05" w:rsidP="00CB5A05">
      <w:pPr>
        <w:shd w:val="clear" w:color="auto" w:fill="FFFFFF"/>
        <w:spacing w:before="0" w:after="0" w:line="276" w:lineRule="auto"/>
        <w:jc w:val="both"/>
        <w:rPr>
          <w:rFonts w:cs="Arial"/>
          <w:color w:val="000000"/>
          <w:szCs w:val="24"/>
          <w:lang w:eastAsia="en-GB"/>
        </w:rPr>
      </w:pPr>
    </w:p>
    <w:p w14:paraId="5C742007" w14:textId="77777777" w:rsidR="005233B5" w:rsidRPr="00032CF3" w:rsidRDefault="005233B5" w:rsidP="00CB5A05">
      <w:pPr>
        <w:shd w:val="clear" w:color="auto" w:fill="FFFFFF"/>
        <w:spacing w:before="0" w:after="0" w:line="276" w:lineRule="auto"/>
        <w:jc w:val="both"/>
        <w:rPr>
          <w:rFonts w:cs="Arial"/>
          <w:color w:val="000000"/>
          <w:szCs w:val="24"/>
          <w:lang w:eastAsia="en-GB"/>
        </w:rPr>
      </w:pPr>
    </w:p>
    <w:p w14:paraId="14F3550B" w14:textId="77777777" w:rsidR="00F60926" w:rsidRPr="00032CF3" w:rsidRDefault="00F60926" w:rsidP="00B914EE">
      <w:pPr>
        <w:pStyle w:val="ListParagraph"/>
        <w:numPr>
          <w:ilvl w:val="0"/>
          <w:numId w:val="28"/>
        </w:numPr>
        <w:shd w:val="clear" w:color="auto" w:fill="FFFFFF"/>
        <w:spacing w:before="0" w:after="0" w:line="276" w:lineRule="auto"/>
        <w:rPr>
          <w:rFonts w:ascii="Arial" w:hAnsi="Arial"/>
          <w:b/>
          <w:color w:val="000000"/>
          <w:sz w:val="24"/>
          <w:szCs w:val="24"/>
          <w:lang w:eastAsia="en-GB"/>
        </w:rPr>
      </w:pPr>
      <w:r w:rsidRPr="00032CF3">
        <w:rPr>
          <w:rFonts w:ascii="Arial" w:hAnsi="Arial"/>
          <w:b/>
          <w:color w:val="000000"/>
          <w:sz w:val="24"/>
          <w:szCs w:val="24"/>
          <w:lang w:eastAsia="en-GB"/>
        </w:rPr>
        <w:t>Rights in relation to automated decision making and profiling.</w:t>
      </w:r>
    </w:p>
    <w:p w14:paraId="56125512" w14:textId="77777777" w:rsidR="00F60926" w:rsidRPr="00032CF3" w:rsidRDefault="00F60926" w:rsidP="00CB5A05">
      <w:pPr>
        <w:shd w:val="clear" w:color="auto" w:fill="FFFFFF"/>
        <w:spacing w:before="0" w:after="0" w:line="276" w:lineRule="auto"/>
        <w:jc w:val="both"/>
        <w:rPr>
          <w:rFonts w:cs="Arial"/>
          <w:color w:val="000000"/>
          <w:szCs w:val="24"/>
          <w:lang w:eastAsia="en-GB"/>
        </w:rPr>
      </w:pPr>
      <w:r w:rsidRPr="00032CF3">
        <w:rPr>
          <w:rFonts w:cs="Arial"/>
          <w:color w:val="000000"/>
          <w:szCs w:val="24"/>
          <w:lang w:eastAsia="en-GB"/>
        </w:rPr>
        <w:lastRenderedPageBreak/>
        <w:t>The GDPR has provisions on:</w:t>
      </w:r>
    </w:p>
    <w:p w14:paraId="185677B9" w14:textId="77777777" w:rsidR="00F60926" w:rsidRPr="00032CF3" w:rsidRDefault="00F60926" w:rsidP="00B914EE">
      <w:pPr>
        <w:numPr>
          <w:ilvl w:val="1"/>
          <w:numId w:val="31"/>
        </w:numPr>
        <w:shd w:val="clear" w:color="auto" w:fill="FFFFFF"/>
        <w:spacing w:before="0" w:after="0" w:line="276" w:lineRule="auto"/>
        <w:ind w:left="426" w:hanging="426"/>
        <w:jc w:val="both"/>
        <w:rPr>
          <w:rFonts w:cs="Arial"/>
          <w:color w:val="000000"/>
          <w:szCs w:val="24"/>
          <w:lang w:eastAsia="en-GB"/>
        </w:rPr>
      </w:pPr>
      <w:r w:rsidRPr="00032CF3">
        <w:rPr>
          <w:rFonts w:cs="Arial"/>
          <w:color w:val="000000"/>
          <w:szCs w:val="24"/>
          <w:lang w:eastAsia="en-GB"/>
        </w:rPr>
        <w:t>automated individual decision-making (making a decision solely by automated means without any human involvement); and</w:t>
      </w:r>
    </w:p>
    <w:p w14:paraId="483BA210" w14:textId="77777777" w:rsidR="00F60926" w:rsidRPr="00032CF3" w:rsidRDefault="00F60926" w:rsidP="00B914EE">
      <w:pPr>
        <w:numPr>
          <w:ilvl w:val="1"/>
          <w:numId w:val="31"/>
        </w:numPr>
        <w:shd w:val="clear" w:color="auto" w:fill="FFFFFF"/>
        <w:spacing w:before="0" w:after="0" w:line="276" w:lineRule="auto"/>
        <w:ind w:left="426" w:hanging="426"/>
        <w:jc w:val="both"/>
        <w:rPr>
          <w:rFonts w:cs="Arial"/>
          <w:color w:val="000000"/>
          <w:szCs w:val="24"/>
          <w:lang w:eastAsia="en-GB"/>
        </w:rPr>
      </w:pPr>
      <w:r w:rsidRPr="00032CF3">
        <w:rPr>
          <w:rFonts w:cs="Arial"/>
          <w:color w:val="000000"/>
          <w:szCs w:val="24"/>
          <w:lang w:eastAsia="en-GB"/>
        </w:rPr>
        <w:t>profiling (automated processing of personal data to evaluate certain things about an individual). Profiling can be part of an automated decision-making process.</w:t>
      </w:r>
    </w:p>
    <w:p w14:paraId="32C51FF2" w14:textId="77777777" w:rsidR="000756EA" w:rsidRPr="00032CF3" w:rsidRDefault="000756EA" w:rsidP="00CB5A05">
      <w:pPr>
        <w:shd w:val="clear" w:color="auto" w:fill="FFFFFF"/>
        <w:spacing w:before="0" w:after="0" w:line="276" w:lineRule="auto"/>
        <w:jc w:val="both"/>
        <w:rPr>
          <w:rFonts w:cs="Arial"/>
          <w:color w:val="000000"/>
          <w:szCs w:val="24"/>
          <w:lang w:eastAsia="en-GB"/>
        </w:rPr>
      </w:pPr>
    </w:p>
    <w:p w14:paraId="4F67627A" w14:textId="77777777" w:rsidR="00F60926" w:rsidRPr="00032CF3" w:rsidRDefault="00F60926" w:rsidP="00CB5A05">
      <w:pPr>
        <w:shd w:val="clear" w:color="auto" w:fill="FFFFFF"/>
        <w:spacing w:before="0" w:after="0" w:line="276" w:lineRule="auto"/>
        <w:jc w:val="both"/>
        <w:rPr>
          <w:rFonts w:cs="Arial"/>
          <w:color w:val="000000"/>
          <w:szCs w:val="24"/>
          <w:shd w:val="clear" w:color="auto" w:fill="FFFFFF"/>
        </w:rPr>
      </w:pPr>
      <w:r w:rsidRPr="00032CF3">
        <w:rPr>
          <w:rFonts w:cs="Arial"/>
          <w:color w:val="000000"/>
          <w:szCs w:val="24"/>
          <w:lang w:eastAsia="en-GB"/>
        </w:rPr>
        <w:t xml:space="preserve">Article 22 of the GDPR has additional rules to protect individuals if organisations are carrying out solely automated decision-making that has legal or similarly significant effects on them. </w:t>
      </w:r>
      <w:r w:rsidRPr="00032CF3">
        <w:rPr>
          <w:rFonts w:cs="Arial"/>
          <w:color w:val="000000"/>
          <w:szCs w:val="24"/>
          <w:shd w:val="clear" w:color="auto" w:fill="FFFFFF"/>
        </w:rPr>
        <w:t> These types of effect are not defined in the GDPR, but the decision must have a serious negative impact on an individual to be caught by this provision. </w:t>
      </w:r>
    </w:p>
    <w:p w14:paraId="4C39BACF" w14:textId="77777777" w:rsidR="00CB5A05" w:rsidRPr="00032CF3" w:rsidRDefault="00CB5A05" w:rsidP="00CB5A05">
      <w:pPr>
        <w:shd w:val="clear" w:color="auto" w:fill="FFFFFF"/>
        <w:spacing w:before="0" w:after="0" w:line="276" w:lineRule="auto"/>
        <w:jc w:val="both"/>
        <w:rPr>
          <w:rFonts w:cs="Arial"/>
          <w:b/>
          <w:color w:val="000000"/>
          <w:szCs w:val="24"/>
        </w:rPr>
      </w:pPr>
    </w:p>
    <w:p w14:paraId="5DC084E5" w14:textId="77777777" w:rsidR="00F60926" w:rsidRPr="00032CF3" w:rsidRDefault="00F60926" w:rsidP="00CB5A05">
      <w:pPr>
        <w:shd w:val="clear" w:color="auto" w:fill="FFFFFF"/>
        <w:spacing w:before="0" w:after="0" w:line="276" w:lineRule="auto"/>
        <w:jc w:val="both"/>
        <w:rPr>
          <w:rFonts w:cs="Arial"/>
          <w:color w:val="000000"/>
          <w:szCs w:val="24"/>
        </w:rPr>
      </w:pPr>
      <w:r w:rsidRPr="00032CF3">
        <w:rPr>
          <w:rFonts w:cs="Arial"/>
          <w:b/>
          <w:color w:val="000000"/>
          <w:szCs w:val="24"/>
        </w:rPr>
        <w:t xml:space="preserve">Please note: </w:t>
      </w:r>
      <w:r w:rsidR="00EA7638" w:rsidRPr="00032CF3">
        <w:rPr>
          <w:rFonts w:cs="Arial"/>
          <w:color w:val="000000"/>
          <w:szCs w:val="24"/>
        </w:rPr>
        <w:t xml:space="preserve"> There are exemptions such as where automation is in accordance with another law, where the automation is necessary for the entering or performance of a contract between the individual and pharmacy contractor, or when the individual has given their explicit consent.</w:t>
      </w:r>
    </w:p>
    <w:p w14:paraId="3DB71C09" w14:textId="77777777" w:rsidR="000F405E" w:rsidRPr="00032CF3" w:rsidRDefault="000F405E" w:rsidP="00CB5A05">
      <w:pPr>
        <w:shd w:val="clear" w:color="auto" w:fill="FFFFFF"/>
        <w:spacing w:before="0" w:after="0" w:line="276" w:lineRule="auto"/>
        <w:jc w:val="both"/>
        <w:rPr>
          <w:rFonts w:cs="Arial"/>
          <w:color w:val="000000"/>
          <w:szCs w:val="24"/>
        </w:rPr>
      </w:pPr>
    </w:p>
    <w:p w14:paraId="34BB4CC1" w14:textId="77777777" w:rsidR="000F405E" w:rsidRPr="00032CF3" w:rsidRDefault="000F405E">
      <w:pPr>
        <w:spacing w:before="0" w:after="160" w:line="259" w:lineRule="auto"/>
        <w:rPr>
          <w:rFonts w:cs="Arial"/>
          <w:color w:val="000000"/>
          <w:szCs w:val="24"/>
        </w:rPr>
      </w:pPr>
      <w:r w:rsidRPr="00032CF3">
        <w:rPr>
          <w:rFonts w:cs="Arial"/>
          <w:color w:val="000000"/>
          <w:szCs w:val="24"/>
        </w:rPr>
        <w:br w:type="page"/>
      </w:r>
    </w:p>
    <w:p w14:paraId="107C4688" w14:textId="77777777" w:rsidR="000F405E" w:rsidRDefault="000F405E" w:rsidP="000F405E">
      <w:pPr>
        <w:pStyle w:val="Heading2"/>
        <w:rPr>
          <w:rFonts w:cs="Arial"/>
        </w:rPr>
      </w:pPr>
      <w:bookmarkStart w:id="83" w:name="_Toc10223093"/>
      <w:r w:rsidRPr="00032CF3">
        <w:rPr>
          <w:rFonts w:cs="Arial"/>
        </w:rPr>
        <w:lastRenderedPageBreak/>
        <w:t>A</w:t>
      </w:r>
      <w:r w:rsidR="0090052A" w:rsidRPr="00032CF3">
        <w:rPr>
          <w:rFonts w:cs="Arial"/>
        </w:rPr>
        <w:t>ppendix</w:t>
      </w:r>
      <w:r w:rsidRPr="00032CF3">
        <w:rPr>
          <w:rFonts w:cs="Arial"/>
        </w:rPr>
        <w:t xml:space="preserve"> O – </w:t>
      </w:r>
      <w:r w:rsidR="00F573FF">
        <w:rPr>
          <w:rFonts w:cs="Arial"/>
        </w:rPr>
        <w:t>Data Breach Management</w:t>
      </w:r>
      <w:bookmarkEnd w:id="83"/>
    </w:p>
    <w:p w14:paraId="0AAA8EA6" w14:textId="77777777" w:rsidR="00100854" w:rsidRDefault="00100854" w:rsidP="00226D5F">
      <w:pPr>
        <w:spacing w:before="0" w:after="0" w:line="276" w:lineRule="auto"/>
        <w:jc w:val="both"/>
        <w:rPr>
          <w:rFonts w:cs="Arial"/>
          <w:szCs w:val="22"/>
        </w:rPr>
      </w:pPr>
      <w:r w:rsidRPr="007F774B">
        <w:rPr>
          <w:rFonts w:cs="Arial"/>
          <w:szCs w:val="22"/>
        </w:rPr>
        <w:t>A personal data breach is defined as a</w:t>
      </w:r>
      <w:r w:rsidR="00F573FF" w:rsidRPr="007F774B">
        <w:rPr>
          <w:rFonts w:cs="Arial"/>
          <w:szCs w:val="22"/>
        </w:rPr>
        <w:t xml:space="preserve"> breach of security leading to the accidental or unlawful destruction, loss, alteration, unauthorised disclosure of, or access to, personal data transmitted, stored or otherwise processed. </w:t>
      </w:r>
    </w:p>
    <w:p w14:paraId="4C2F3578" w14:textId="77777777" w:rsidR="00226D5F" w:rsidRPr="007F774B" w:rsidRDefault="00226D5F" w:rsidP="00226D5F">
      <w:pPr>
        <w:spacing w:before="0" w:after="0" w:line="276" w:lineRule="auto"/>
        <w:jc w:val="both"/>
        <w:rPr>
          <w:rFonts w:cs="Arial"/>
          <w:szCs w:val="22"/>
        </w:rPr>
      </w:pPr>
    </w:p>
    <w:p w14:paraId="4A231B27" w14:textId="77777777" w:rsidR="00F573FF" w:rsidRPr="007F774B" w:rsidRDefault="00F573FF" w:rsidP="00226D5F">
      <w:pPr>
        <w:spacing w:before="0" w:after="0" w:line="276" w:lineRule="auto"/>
        <w:jc w:val="both"/>
        <w:rPr>
          <w:rFonts w:cs="Arial"/>
          <w:szCs w:val="22"/>
        </w:rPr>
      </w:pPr>
      <w:r w:rsidRPr="007F774B">
        <w:rPr>
          <w:rFonts w:cs="Arial"/>
          <w:szCs w:val="22"/>
        </w:rPr>
        <w:t>The General Data Protection Regulation 2018 introduces a duty on all organisations to investigate security incidents to establish whether a personal data breach has occurred and so will need to have robust breach detection, investigation and internal reporting procedures in place.</w:t>
      </w:r>
    </w:p>
    <w:p w14:paraId="3FD589D9" w14:textId="77777777" w:rsidR="00226D5F" w:rsidRDefault="00226D5F" w:rsidP="00226D5F">
      <w:pPr>
        <w:spacing w:before="0" w:after="0" w:line="276" w:lineRule="auto"/>
        <w:jc w:val="both"/>
        <w:rPr>
          <w:rFonts w:cs="Arial"/>
          <w:szCs w:val="22"/>
        </w:rPr>
      </w:pPr>
    </w:p>
    <w:p w14:paraId="7E162C22" w14:textId="77777777" w:rsidR="00F573FF" w:rsidRPr="007F774B" w:rsidRDefault="00F573FF" w:rsidP="00226D5F">
      <w:pPr>
        <w:spacing w:before="0" w:after="0" w:line="276" w:lineRule="auto"/>
        <w:jc w:val="both"/>
        <w:rPr>
          <w:rFonts w:cs="Arial"/>
          <w:szCs w:val="22"/>
        </w:rPr>
      </w:pPr>
      <w:r w:rsidRPr="007F774B">
        <w:rPr>
          <w:rFonts w:cs="Arial"/>
          <w:szCs w:val="22"/>
        </w:rPr>
        <w:t>If a personal data breach has occurred, organisations need to promptly take steps to address this including reporting certain types of personal data breaches to the relevant supervisory authority. In these cases, reporting must be done within 72 hours of becoming aware of the breach.</w:t>
      </w:r>
    </w:p>
    <w:p w14:paraId="33A8208B" w14:textId="77777777" w:rsidR="00226D5F" w:rsidRDefault="00226D5F" w:rsidP="00226D5F">
      <w:pPr>
        <w:pStyle w:val="NormalWeb"/>
        <w:shd w:val="clear" w:color="auto" w:fill="FFFFFF"/>
        <w:spacing w:before="0" w:after="0" w:line="276" w:lineRule="auto"/>
        <w:jc w:val="both"/>
        <w:rPr>
          <w:rFonts w:ascii="Arial" w:hAnsi="Arial" w:cs="Arial"/>
          <w:color w:val="000000"/>
          <w:szCs w:val="22"/>
        </w:rPr>
      </w:pPr>
    </w:p>
    <w:p w14:paraId="53F548A4" w14:textId="77777777" w:rsidR="00F573FF" w:rsidRPr="007F774B" w:rsidRDefault="00F573FF" w:rsidP="00226D5F">
      <w:pPr>
        <w:pStyle w:val="NormalWeb"/>
        <w:shd w:val="clear" w:color="auto" w:fill="FFFFFF"/>
        <w:spacing w:before="0" w:after="0" w:line="276" w:lineRule="auto"/>
        <w:jc w:val="both"/>
        <w:rPr>
          <w:rFonts w:ascii="Arial" w:hAnsi="Arial" w:cs="Arial"/>
          <w:color w:val="000000"/>
          <w:szCs w:val="22"/>
        </w:rPr>
      </w:pPr>
      <w:r w:rsidRPr="007F774B">
        <w:rPr>
          <w:rFonts w:ascii="Arial" w:hAnsi="Arial" w:cs="Arial"/>
          <w:color w:val="000000"/>
          <w:szCs w:val="22"/>
        </w:rPr>
        <w:t>If the breach is likely to result in a high risk of adversely affecting individuals’ rights and freedoms, organisations must also inform those individuals without delay.</w:t>
      </w:r>
    </w:p>
    <w:p w14:paraId="03F094BF" w14:textId="77777777" w:rsidR="00F573FF" w:rsidRPr="007F774B" w:rsidRDefault="00F573FF" w:rsidP="00226D5F">
      <w:pPr>
        <w:pStyle w:val="NormalWeb"/>
        <w:shd w:val="clear" w:color="auto" w:fill="FFFFFF"/>
        <w:spacing w:before="0" w:after="0" w:line="276" w:lineRule="auto"/>
        <w:jc w:val="both"/>
        <w:rPr>
          <w:rFonts w:ascii="Arial" w:hAnsi="Arial" w:cs="Arial"/>
          <w:color w:val="000000"/>
          <w:szCs w:val="22"/>
        </w:rPr>
      </w:pPr>
      <w:r w:rsidRPr="007F774B">
        <w:rPr>
          <w:rFonts w:ascii="Arial" w:hAnsi="Arial" w:cs="Arial"/>
          <w:color w:val="000000"/>
          <w:szCs w:val="22"/>
        </w:rPr>
        <w:t>Organisations must keep a record of all personal data breaches regardless of whether or not these are reported to the supervisory authority.</w:t>
      </w:r>
    </w:p>
    <w:p w14:paraId="3F871CB5" w14:textId="77777777" w:rsidR="00226D5F" w:rsidRDefault="00226D5F" w:rsidP="00226D5F">
      <w:pPr>
        <w:pStyle w:val="NormalWeb"/>
        <w:shd w:val="clear" w:color="auto" w:fill="FFFFFF"/>
        <w:spacing w:before="0" w:after="0" w:line="276" w:lineRule="auto"/>
        <w:jc w:val="both"/>
        <w:rPr>
          <w:rFonts w:ascii="Arial" w:hAnsi="Arial" w:cs="Arial"/>
          <w:szCs w:val="22"/>
        </w:rPr>
      </w:pPr>
    </w:p>
    <w:p w14:paraId="3D6523DF" w14:textId="77777777" w:rsidR="00F573FF" w:rsidRPr="007F774B" w:rsidRDefault="00F573FF" w:rsidP="00226D5F">
      <w:pPr>
        <w:pStyle w:val="NormalWeb"/>
        <w:shd w:val="clear" w:color="auto" w:fill="FFFFFF"/>
        <w:spacing w:before="0" w:after="0" w:line="276" w:lineRule="auto"/>
        <w:jc w:val="both"/>
        <w:rPr>
          <w:rFonts w:ascii="Arial" w:hAnsi="Arial" w:cs="Arial"/>
          <w:szCs w:val="22"/>
        </w:rPr>
      </w:pPr>
      <w:r w:rsidRPr="007F774B">
        <w:rPr>
          <w:rFonts w:ascii="Arial" w:hAnsi="Arial" w:cs="Arial"/>
          <w:szCs w:val="22"/>
        </w:rPr>
        <w:t>Any breaches that also fulfil the criteria of a “Security of Network and Information Systems” (NIS)</w:t>
      </w:r>
      <w:r w:rsidRPr="007F774B">
        <w:rPr>
          <w:rStyle w:val="FootnoteReference"/>
          <w:rFonts w:ascii="Arial" w:hAnsi="Arial" w:cs="Arial"/>
          <w:szCs w:val="22"/>
        </w:rPr>
        <w:footnoteReference w:id="18"/>
      </w:r>
      <w:r w:rsidRPr="007F774B">
        <w:rPr>
          <w:rFonts w:ascii="Arial" w:hAnsi="Arial" w:cs="Arial"/>
          <w:szCs w:val="22"/>
        </w:rPr>
        <w:t xml:space="preserve"> notifiable incident will be forwarded to the DHSC where the Secretary of State is the competent authority for the implementation of the NIS directive in the health and social care sector.  The Information Commissioner remains the national regulatory authority for the NIS directive.)</w:t>
      </w:r>
    </w:p>
    <w:p w14:paraId="6C1DECDD" w14:textId="77777777" w:rsidR="00226D5F" w:rsidRDefault="00226D5F" w:rsidP="00226D5F">
      <w:pPr>
        <w:pStyle w:val="NormalWeb"/>
        <w:shd w:val="clear" w:color="auto" w:fill="FFFFFF"/>
        <w:spacing w:before="0" w:after="0" w:line="276" w:lineRule="auto"/>
        <w:jc w:val="both"/>
        <w:rPr>
          <w:rFonts w:ascii="Arial" w:hAnsi="Arial" w:cs="Arial"/>
          <w:b/>
          <w:szCs w:val="22"/>
        </w:rPr>
      </w:pPr>
    </w:p>
    <w:p w14:paraId="5314C5BB" w14:textId="77777777" w:rsidR="00F573FF" w:rsidRPr="007F774B" w:rsidRDefault="00F573FF" w:rsidP="00226D5F">
      <w:pPr>
        <w:pStyle w:val="NormalWeb"/>
        <w:shd w:val="clear" w:color="auto" w:fill="FFFFFF"/>
        <w:spacing w:before="0" w:after="0" w:line="276" w:lineRule="auto"/>
        <w:jc w:val="both"/>
        <w:rPr>
          <w:rFonts w:ascii="Arial" w:hAnsi="Arial" w:cs="Arial"/>
          <w:b/>
          <w:szCs w:val="22"/>
        </w:rPr>
      </w:pPr>
      <w:r w:rsidRPr="007F774B">
        <w:rPr>
          <w:rFonts w:ascii="Arial" w:hAnsi="Arial" w:cs="Arial"/>
          <w:b/>
          <w:szCs w:val="22"/>
        </w:rPr>
        <w:t xml:space="preserve">Useful documents and Guidance: </w:t>
      </w:r>
    </w:p>
    <w:p w14:paraId="5EF2830E" w14:textId="77777777" w:rsidR="00F573FF" w:rsidRPr="007F774B" w:rsidRDefault="00F573FF" w:rsidP="00226D5F">
      <w:pPr>
        <w:spacing w:before="0" w:after="0" w:line="276" w:lineRule="auto"/>
        <w:jc w:val="both"/>
        <w:rPr>
          <w:rFonts w:cs="Arial"/>
          <w:szCs w:val="22"/>
        </w:rPr>
      </w:pPr>
      <w:r w:rsidRPr="007F774B">
        <w:rPr>
          <w:rFonts w:cs="Arial"/>
          <w:szCs w:val="22"/>
        </w:rPr>
        <w:t xml:space="preserve">The </w:t>
      </w:r>
      <w:r w:rsidRPr="007F774B">
        <w:rPr>
          <w:rFonts w:cs="Arial"/>
          <w:b/>
          <w:szCs w:val="22"/>
        </w:rPr>
        <w:t>“</w:t>
      </w:r>
      <w:bookmarkStart w:id="84" w:name="_Hlk3882296"/>
      <w:r w:rsidRPr="007F774B">
        <w:rPr>
          <w:rFonts w:cs="Arial"/>
          <w:b/>
          <w:szCs w:val="22"/>
        </w:rPr>
        <w:t>Data Security Standard 6: Guide to the Notification of Data Security and Protection Incidents</w:t>
      </w:r>
      <w:r w:rsidRPr="007F774B">
        <w:rPr>
          <w:rStyle w:val="FootnoteReference"/>
          <w:rFonts w:cs="Arial"/>
          <w:b/>
          <w:szCs w:val="22"/>
        </w:rPr>
        <w:footnoteReference w:id="19"/>
      </w:r>
      <w:r w:rsidRPr="007F774B">
        <w:rPr>
          <w:rFonts w:cs="Arial"/>
          <w:b/>
          <w:szCs w:val="22"/>
        </w:rPr>
        <w:t>”</w:t>
      </w:r>
      <w:r w:rsidRPr="007F774B">
        <w:rPr>
          <w:rFonts w:cs="Arial"/>
          <w:szCs w:val="22"/>
        </w:rPr>
        <w:t xml:space="preserve"> </w:t>
      </w:r>
      <w:bookmarkEnd w:id="84"/>
      <w:r w:rsidRPr="007F774B">
        <w:rPr>
          <w:rFonts w:cs="Arial"/>
          <w:szCs w:val="22"/>
        </w:rPr>
        <w:t xml:space="preserve">written by NHS Digital sets out different types of breaches, when a breach is reportable and, incident management &amp; breach reporting process. </w:t>
      </w:r>
    </w:p>
    <w:p w14:paraId="189A8E0C" w14:textId="77777777" w:rsidR="00226D5F" w:rsidRDefault="00226D5F" w:rsidP="00226D5F">
      <w:pPr>
        <w:spacing w:before="0" w:after="0" w:line="276" w:lineRule="auto"/>
        <w:jc w:val="both"/>
        <w:rPr>
          <w:rFonts w:cs="Arial"/>
          <w:szCs w:val="22"/>
        </w:rPr>
      </w:pPr>
    </w:p>
    <w:p w14:paraId="7C4833A7" w14:textId="77777777" w:rsidR="00F573FF" w:rsidRPr="007F774B" w:rsidRDefault="00F573FF" w:rsidP="00226D5F">
      <w:pPr>
        <w:spacing w:before="0" w:after="0" w:line="276" w:lineRule="auto"/>
        <w:jc w:val="both"/>
        <w:rPr>
          <w:rFonts w:cs="Arial"/>
          <w:szCs w:val="22"/>
        </w:rPr>
      </w:pPr>
      <w:r w:rsidRPr="007F774B">
        <w:rPr>
          <w:rFonts w:cs="Arial"/>
          <w:szCs w:val="22"/>
        </w:rPr>
        <w:t>The guide is written for all organisations operating in the health and care sector (including organisations registered with Care Quality Commission (CAC) and those organisations processing health and social care personal data under contract with the health and social care sector including directly commissioned services and their support services).  In these cases, breaches are reported using the Reporting Tool within the DSPT.</w:t>
      </w:r>
    </w:p>
    <w:p w14:paraId="78F290F0" w14:textId="77777777" w:rsidR="00226D5F" w:rsidRDefault="00226D5F" w:rsidP="00226D5F">
      <w:pPr>
        <w:spacing w:before="0" w:after="0" w:line="276" w:lineRule="auto"/>
        <w:jc w:val="both"/>
        <w:rPr>
          <w:rFonts w:cs="Arial"/>
          <w:szCs w:val="22"/>
        </w:rPr>
      </w:pPr>
    </w:p>
    <w:p w14:paraId="0CAF5062" w14:textId="77777777" w:rsidR="00F573FF" w:rsidRPr="007F774B" w:rsidRDefault="00F573FF" w:rsidP="00226D5F">
      <w:pPr>
        <w:spacing w:before="0" w:after="0" w:line="276" w:lineRule="auto"/>
        <w:jc w:val="both"/>
        <w:rPr>
          <w:rFonts w:cs="Arial"/>
          <w:szCs w:val="22"/>
        </w:rPr>
      </w:pPr>
      <w:r w:rsidRPr="007F774B">
        <w:rPr>
          <w:rFonts w:cs="Arial"/>
          <w:szCs w:val="22"/>
        </w:rPr>
        <w:t>However, other organisations such as private health and social care services that are not contracted by a public-sector organisation and those parts of local government not delivering adult social care services can also use the Reporting Tool within the DSPT</w:t>
      </w:r>
      <w:r w:rsidR="00226D5F">
        <w:rPr>
          <w:rFonts w:cs="Arial"/>
          <w:szCs w:val="22"/>
        </w:rPr>
        <w:t>.</w:t>
      </w:r>
    </w:p>
    <w:p w14:paraId="3CAB898E" w14:textId="77777777" w:rsidR="00226D5F" w:rsidRDefault="00226D5F" w:rsidP="00226D5F">
      <w:pPr>
        <w:spacing w:before="0" w:after="0" w:line="276" w:lineRule="auto"/>
        <w:jc w:val="both"/>
        <w:rPr>
          <w:rFonts w:cs="Arial"/>
          <w:szCs w:val="22"/>
        </w:rPr>
      </w:pPr>
    </w:p>
    <w:p w14:paraId="1BC8F124" w14:textId="77777777" w:rsidR="00226D5F" w:rsidRDefault="00F573FF" w:rsidP="00226D5F">
      <w:pPr>
        <w:spacing w:before="0" w:after="0" w:line="276" w:lineRule="auto"/>
        <w:jc w:val="both"/>
        <w:rPr>
          <w:rFonts w:cs="Arial"/>
          <w:szCs w:val="22"/>
        </w:rPr>
      </w:pPr>
      <w:r w:rsidRPr="007F774B">
        <w:rPr>
          <w:rFonts w:cs="Arial"/>
          <w:szCs w:val="22"/>
        </w:rPr>
        <w:t>Any personal data breaches that fall out of scope can be reported either via this reporting tool or to the Information Commissioner directly at the discretion of the reporting</w:t>
      </w:r>
      <w:r w:rsidRPr="007F774B">
        <w:rPr>
          <w:sz w:val="28"/>
        </w:rPr>
        <w:t xml:space="preserve"> </w:t>
      </w:r>
      <w:r w:rsidRPr="007F774B">
        <w:rPr>
          <w:rFonts w:cs="Arial"/>
          <w:szCs w:val="22"/>
        </w:rPr>
        <w:t xml:space="preserve">organisation. </w:t>
      </w:r>
    </w:p>
    <w:p w14:paraId="06D7C2C8" w14:textId="77777777" w:rsidR="00226D5F" w:rsidRDefault="00226D5F" w:rsidP="00226D5F">
      <w:pPr>
        <w:spacing w:before="0" w:after="0" w:line="276" w:lineRule="auto"/>
        <w:jc w:val="both"/>
        <w:rPr>
          <w:rFonts w:cs="Arial"/>
          <w:szCs w:val="22"/>
        </w:rPr>
      </w:pPr>
    </w:p>
    <w:p w14:paraId="1E5817D3" w14:textId="77777777" w:rsidR="00F573FF" w:rsidRPr="007F774B" w:rsidRDefault="00F573FF" w:rsidP="00226D5F">
      <w:pPr>
        <w:spacing w:before="0" w:after="0" w:line="276" w:lineRule="auto"/>
        <w:jc w:val="both"/>
        <w:rPr>
          <w:rFonts w:cs="Arial"/>
          <w:szCs w:val="22"/>
        </w:rPr>
      </w:pPr>
      <w:r w:rsidRPr="007F774B">
        <w:rPr>
          <w:rFonts w:cs="Arial"/>
          <w:szCs w:val="22"/>
        </w:rPr>
        <w:t xml:space="preserve">The Information Commissioners Office has produced some useful guides on their website which sets out a data breach management/ reporting process: </w:t>
      </w:r>
    </w:p>
    <w:p w14:paraId="3496B0BA" w14:textId="77777777" w:rsidR="00F573FF" w:rsidRPr="007F774B" w:rsidRDefault="00F573FF" w:rsidP="00226D5F">
      <w:pPr>
        <w:shd w:val="clear" w:color="auto" w:fill="FFFFFF"/>
        <w:spacing w:before="0" w:after="0" w:line="276" w:lineRule="auto"/>
        <w:jc w:val="both"/>
        <w:rPr>
          <w:rFonts w:cs="Arial"/>
          <w:bCs w:val="0"/>
          <w:color w:val="000000"/>
          <w:szCs w:val="22"/>
          <w:lang w:eastAsia="en-GB"/>
        </w:rPr>
      </w:pPr>
      <w:bookmarkStart w:id="85" w:name="_Hlk3882150"/>
      <w:r w:rsidRPr="007F774B">
        <w:rPr>
          <w:rFonts w:cs="Arial"/>
          <w:bCs w:val="0"/>
          <w:color w:val="000000"/>
          <w:szCs w:val="22"/>
          <w:lang w:eastAsia="en-GB"/>
        </w:rPr>
        <w:t xml:space="preserve">Security Breaches: </w:t>
      </w:r>
      <w:hyperlink r:id="rId57" w:history="1">
        <w:r w:rsidR="00764D72" w:rsidRPr="007F774B">
          <w:rPr>
            <w:rStyle w:val="Hyperlink"/>
            <w:rFonts w:cs="Arial"/>
            <w:szCs w:val="22"/>
            <w:lang w:eastAsia="en-GB"/>
          </w:rPr>
          <w:t>https://ico.org.uk/for-organisations/guide-to-pecr/communications-networks-and-services/security-breaches/</w:t>
        </w:r>
      </w:hyperlink>
    </w:p>
    <w:p w14:paraId="14069675" w14:textId="77777777" w:rsidR="00F573FF" w:rsidRDefault="00F573FF" w:rsidP="00226D5F">
      <w:pPr>
        <w:spacing w:before="0" w:after="0" w:line="276" w:lineRule="auto"/>
        <w:jc w:val="both"/>
      </w:pPr>
      <w:r w:rsidRPr="007F774B">
        <w:rPr>
          <w:rFonts w:cs="Arial"/>
          <w:bCs w:val="0"/>
          <w:color w:val="000000"/>
          <w:szCs w:val="22"/>
          <w:lang w:eastAsia="en-GB"/>
        </w:rPr>
        <w:t xml:space="preserve">Personal Data Breaches: </w:t>
      </w:r>
      <w:hyperlink r:id="rId58" w:history="1">
        <w:r w:rsidR="00764D72" w:rsidRPr="007F774B">
          <w:rPr>
            <w:rStyle w:val="Hyperlink"/>
            <w:rFonts w:cs="Arial"/>
            <w:szCs w:val="22"/>
            <w:lang w:eastAsia="en-GB"/>
          </w:rPr>
          <w:t>https://ico.org.uk/for-organisations/guide-to-data-protection/guide-to-the-general-data-protection-regulation-gdpr/personal-data-breaches/</w:t>
        </w:r>
      </w:hyperlink>
      <w:bookmarkEnd w:id="85"/>
      <w:r>
        <w:br w:type="page"/>
      </w:r>
    </w:p>
    <w:p w14:paraId="5BC6B389" w14:textId="77777777" w:rsidR="00F573FF" w:rsidRPr="00F573FF" w:rsidRDefault="00F573FF" w:rsidP="007F774B"/>
    <w:p w14:paraId="70E26EFA" w14:textId="7DEF60D6" w:rsidR="00932BDE" w:rsidRDefault="00932BDE" w:rsidP="00932BDE">
      <w:pPr>
        <w:pStyle w:val="Heading2"/>
        <w:rPr>
          <w:rFonts w:cs="Arial"/>
        </w:rPr>
      </w:pPr>
      <w:bookmarkStart w:id="86" w:name="_Toc10223094"/>
      <w:r w:rsidRPr="00032CF3">
        <w:rPr>
          <w:rFonts w:cs="Arial"/>
        </w:rPr>
        <w:t xml:space="preserve">Appendix </w:t>
      </w:r>
      <w:r w:rsidR="00F573FF">
        <w:rPr>
          <w:rFonts w:cs="Arial"/>
        </w:rPr>
        <w:t>P</w:t>
      </w:r>
      <w:r w:rsidR="00D23949">
        <w:rPr>
          <w:rFonts w:cs="Arial"/>
        </w:rPr>
        <w:t xml:space="preserve"> – Role Based Access Control</w:t>
      </w:r>
      <w:r w:rsidR="005233B5">
        <w:rPr>
          <w:rFonts w:cs="Arial"/>
        </w:rPr>
        <w:t xml:space="preserve"> (RBAC)</w:t>
      </w:r>
      <w:bookmarkEnd w:id="86"/>
    </w:p>
    <w:p w14:paraId="39C84F5A" w14:textId="77777777" w:rsidR="00D23949" w:rsidRDefault="00D23949" w:rsidP="00226D5F">
      <w:pPr>
        <w:spacing w:before="0" w:after="0" w:line="276" w:lineRule="auto"/>
        <w:jc w:val="both"/>
        <w:rPr>
          <w:rFonts w:cs="Arial"/>
          <w:szCs w:val="24"/>
        </w:rPr>
      </w:pPr>
      <w:r w:rsidRPr="00226D5F">
        <w:rPr>
          <w:rFonts w:cs="Arial"/>
          <w:szCs w:val="24"/>
        </w:rPr>
        <w:t xml:space="preserve">LHCRs need to demonstrate access control as relates to the use of confidential patient information. Patients have the right </w:t>
      </w:r>
      <w:r w:rsidRPr="00226D5F">
        <w:rPr>
          <w:rFonts w:cs="Arial"/>
          <w:color w:val="000000" w:themeColor="text1"/>
          <w:szCs w:val="24"/>
          <w:lang w:val="en-US" w:eastAsia="en-GB"/>
        </w:rPr>
        <w:t xml:space="preserve">to know who has access rights and has accessed their record for processing. They also have the right to challenge that access. </w:t>
      </w:r>
      <w:r w:rsidRPr="00226D5F">
        <w:rPr>
          <w:rFonts w:cs="Arial"/>
          <w:szCs w:val="24"/>
        </w:rPr>
        <w:t xml:space="preserve"> This is a fundamental principle and essential for maintaining public trust.</w:t>
      </w:r>
    </w:p>
    <w:p w14:paraId="54990423" w14:textId="77777777" w:rsidR="00226D5F" w:rsidRPr="00226D5F" w:rsidRDefault="00226D5F" w:rsidP="00226D5F">
      <w:pPr>
        <w:spacing w:before="0" w:after="0" w:line="276" w:lineRule="auto"/>
        <w:jc w:val="both"/>
        <w:rPr>
          <w:rFonts w:cs="Arial"/>
          <w:szCs w:val="24"/>
        </w:rPr>
      </w:pPr>
    </w:p>
    <w:p w14:paraId="0D40A7C2" w14:textId="77777777" w:rsidR="00D23949" w:rsidRPr="00226D5F" w:rsidRDefault="00D23949" w:rsidP="00226D5F">
      <w:pPr>
        <w:spacing w:before="0" w:after="0" w:line="276" w:lineRule="auto"/>
        <w:jc w:val="both"/>
        <w:rPr>
          <w:rFonts w:cs="Arial"/>
          <w:szCs w:val="24"/>
        </w:rPr>
      </w:pPr>
      <w:r w:rsidRPr="00226D5F">
        <w:rPr>
          <w:rFonts w:cs="Arial"/>
          <w:szCs w:val="24"/>
        </w:rPr>
        <w:t xml:space="preserve">LHCRs need to ensure that only health and care professionals who have a </w:t>
      </w:r>
      <w:r w:rsidRPr="00226D5F">
        <w:rPr>
          <w:rFonts w:cs="Arial"/>
          <w:b/>
          <w:szCs w:val="24"/>
        </w:rPr>
        <w:t>legitimate relationship</w:t>
      </w:r>
      <w:r w:rsidRPr="00226D5F">
        <w:rPr>
          <w:rFonts w:cs="Arial"/>
          <w:szCs w:val="24"/>
        </w:rPr>
        <w:t xml:space="preserve"> with the patient, in the delivery of their care, will have access to their patient record. This will ensure that the level of access to confidential patient information is “necessary and proportionate”.</w:t>
      </w:r>
    </w:p>
    <w:p w14:paraId="04706651" w14:textId="77777777" w:rsidR="00226D5F" w:rsidRDefault="00226D5F" w:rsidP="00226D5F">
      <w:pPr>
        <w:spacing w:before="0" w:after="0" w:line="276" w:lineRule="auto"/>
        <w:jc w:val="both"/>
        <w:rPr>
          <w:rFonts w:cs="Arial"/>
          <w:szCs w:val="24"/>
        </w:rPr>
      </w:pPr>
    </w:p>
    <w:p w14:paraId="6711E4AD" w14:textId="77777777" w:rsidR="00D23949" w:rsidRPr="00226D5F" w:rsidRDefault="00D23949" w:rsidP="00226D5F">
      <w:pPr>
        <w:spacing w:before="0" w:after="0" w:line="276" w:lineRule="auto"/>
        <w:jc w:val="both"/>
        <w:rPr>
          <w:rFonts w:cs="Arial"/>
          <w:szCs w:val="24"/>
        </w:rPr>
      </w:pPr>
      <w:r w:rsidRPr="00226D5F">
        <w:rPr>
          <w:rFonts w:cs="Arial"/>
          <w:szCs w:val="24"/>
        </w:rPr>
        <w:t xml:space="preserve">Role Based Access Control (RBAC) is an effective model to support appropriate data sharing across the LHCRs - the health or care professional who has a </w:t>
      </w:r>
      <w:r w:rsidRPr="00226D5F">
        <w:rPr>
          <w:rFonts w:cs="Arial"/>
          <w:b/>
          <w:szCs w:val="24"/>
        </w:rPr>
        <w:t xml:space="preserve">legitimate relationship </w:t>
      </w:r>
      <w:r w:rsidRPr="00226D5F">
        <w:rPr>
          <w:rFonts w:cs="Arial"/>
          <w:szCs w:val="24"/>
        </w:rPr>
        <w:t>with the patient</w:t>
      </w:r>
      <w:r w:rsidRPr="00226D5F">
        <w:rPr>
          <w:rFonts w:cs="Arial"/>
          <w:b/>
          <w:szCs w:val="24"/>
        </w:rPr>
        <w:t xml:space="preserve"> </w:t>
      </w:r>
      <w:r w:rsidRPr="00226D5F">
        <w:rPr>
          <w:rFonts w:cs="Arial"/>
          <w:szCs w:val="24"/>
        </w:rPr>
        <w:t xml:space="preserve">will have access to the appropriate level of data required to deliver safe care. </w:t>
      </w:r>
    </w:p>
    <w:p w14:paraId="347EA3FB" w14:textId="77777777" w:rsidR="00226D5F" w:rsidRDefault="00226D5F" w:rsidP="00226D5F">
      <w:pPr>
        <w:spacing w:before="0" w:after="0" w:line="276" w:lineRule="auto"/>
        <w:jc w:val="both"/>
        <w:rPr>
          <w:rFonts w:cs="Arial"/>
          <w:szCs w:val="24"/>
        </w:rPr>
      </w:pPr>
    </w:p>
    <w:p w14:paraId="79659392" w14:textId="77777777" w:rsidR="00D23949" w:rsidRPr="00226D5F" w:rsidRDefault="00D23949" w:rsidP="00226D5F">
      <w:pPr>
        <w:spacing w:before="0" w:after="0" w:line="276" w:lineRule="auto"/>
        <w:jc w:val="both"/>
        <w:rPr>
          <w:rFonts w:cs="Arial"/>
          <w:szCs w:val="24"/>
        </w:rPr>
      </w:pPr>
      <w:r w:rsidRPr="00226D5F">
        <w:rPr>
          <w:rFonts w:cs="Arial"/>
          <w:szCs w:val="24"/>
        </w:rPr>
        <w:t>“System roles” set up within RBAC allow different levels of data access and type of access (whether read only, read-write access). Organisations operating within the LHCR will need to assign staff to “system role(s)” relevant for their job role of the staff. For example, those working as a registered and regulated health or social care professional will have “fullest access” to patient clinical data</w:t>
      </w:r>
      <w:r w:rsidRPr="00226D5F">
        <w:rPr>
          <w:rFonts w:cs="Arial"/>
          <w:b/>
          <w:szCs w:val="24"/>
        </w:rPr>
        <w:t>,</w:t>
      </w:r>
      <w:r w:rsidRPr="00226D5F">
        <w:rPr>
          <w:rFonts w:cs="Arial"/>
          <w:szCs w:val="24"/>
        </w:rPr>
        <w:t xml:space="preserve"> to ensure that treatments are informed by the best available information about the patient reducing the risk of inappropriate interventions. Professionals that fall within “health professional” and “social work professional” are defined in </w:t>
      </w:r>
      <w:hyperlink r:id="rId59" w:history="1">
        <w:r w:rsidRPr="00226D5F">
          <w:rPr>
            <w:rStyle w:val="Hyperlink"/>
            <w:rFonts w:cs="Arial"/>
            <w:szCs w:val="24"/>
          </w:rPr>
          <w:t>Data Protection Act 2018 (Section 204)</w:t>
        </w:r>
      </w:hyperlink>
      <w:r w:rsidRPr="00226D5F">
        <w:rPr>
          <w:rFonts w:cs="Arial"/>
          <w:szCs w:val="24"/>
        </w:rPr>
        <w:t xml:space="preserve"> and also </w:t>
      </w:r>
      <w:hyperlink r:id="rId60" w:history="1">
        <w:r w:rsidRPr="00226D5F">
          <w:rPr>
            <w:rStyle w:val="Hyperlink"/>
            <w:rFonts w:cs="Arial"/>
            <w:szCs w:val="24"/>
          </w:rPr>
          <w:t>NHS Confidentiality Guide (Section 7)</w:t>
        </w:r>
      </w:hyperlink>
      <w:r w:rsidRPr="00226D5F">
        <w:rPr>
          <w:rStyle w:val="Hyperlink"/>
          <w:rFonts w:cs="Arial"/>
          <w:szCs w:val="24"/>
        </w:rPr>
        <w:t>.</w:t>
      </w:r>
      <w:r w:rsidRPr="00226D5F">
        <w:rPr>
          <w:rFonts w:cs="Arial"/>
          <w:szCs w:val="24"/>
        </w:rPr>
        <w:br/>
      </w:r>
    </w:p>
    <w:p w14:paraId="48DB3B81" w14:textId="77777777" w:rsidR="00D23949" w:rsidRPr="00226D5F" w:rsidRDefault="00D23949" w:rsidP="00226D5F">
      <w:pPr>
        <w:spacing w:before="0" w:after="0" w:line="276" w:lineRule="auto"/>
        <w:jc w:val="both"/>
        <w:rPr>
          <w:rFonts w:cs="Arial"/>
          <w:szCs w:val="24"/>
        </w:rPr>
      </w:pPr>
      <w:r w:rsidRPr="00226D5F">
        <w:rPr>
          <w:rFonts w:cs="Arial"/>
          <w:szCs w:val="24"/>
        </w:rPr>
        <w:t xml:space="preserve">Whilst registered and regulated social workers should be considered equivalent to registered and regulated healthcare professionals, “fullest access” </w:t>
      </w:r>
      <w:r w:rsidRPr="00226D5F">
        <w:rPr>
          <w:rFonts w:cs="Arial"/>
          <w:b/>
          <w:szCs w:val="24"/>
          <w:u w:val="single"/>
        </w:rPr>
        <w:t xml:space="preserve">must </w:t>
      </w:r>
      <w:r w:rsidRPr="00226D5F">
        <w:rPr>
          <w:rFonts w:cs="Arial"/>
          <w:szCs w:val="24"/>
        </w:rPr>
        <w:t>be appropriate for the specialism. The needs of each specialism should be considered to determine what the minimum data set needed to provide safe care. These requirements would be enabled through an effective RBAC.</w:t>
      </w:r>
    </w:p>
    <w:p w14:paraId="1D869A42" w14:textId="77777777" w:rsidR="00226D5F" w:rsidRDefault="00226D5F" w:rsidP="00226D5F">
      <w:pPr>
        <w:spacing w:before="0" w:after="0" w:line="276" w:lineRule="auto"/>
        <w:jc w:val="both"/>
        <w:rPr>
          <w:rFonts w:cs="Arial"/>
          <w:szCs w:val="24"/>
        </w:rPr>
      </w:pPr>
    </w:p>
    <w:p w14:paraId="4FD89A03" w14:textId="77777777" w:rsidR="00D23949" w:rsidRPr="00226D5F" w:rsidRDefault="00D23949" w:rsidP="00226D5F">
      <w:pPr>
        <w:spacing w:before="0" w:after="0" w:line="276" w:lineRule="auto"/>
        <w:jc w:val="both"/>
        <w:rPr>
          <w:rFonts w:cs="Arial"/>
          <w:szCs w:val="24"/>
        </w:rPr>
      </w:pPr>
      <w:r w:rsidRPr="00226D5F">
        <w:rPr>
          <w:rFonts w:cs="Arial"/>
          <w:szCs w:val="24"/>
        </w:rPr>
        <w:t>Staff will only be able to access data, that their “system role(s)” permits. Thus typically a receptionist will not have the same level of access as a clinician.</w:t>
      </w:r>
    </w:p>
    <w:p w14:paraId="43993C3B" w14:textId="77777777" w:rsidR="00D23949" w:rsidRPr="00226D5F" w:rsidRDefault="00D23949" w:rsidP="00226D5F">
      <w:pPr>
        <w:spacing w:before="0" w:after="0" w:line="276" w:lineRule="auto"/>
        <w:jc w:val="both"/>
        <w:rPr>
          <w:rFonts w:cs="Arial"/>
          <w:b/>
          <w:szCs w:val="24"/>
        </w:rPr>
      </w:pPr>
    </w:p>
    <w:p w14:paraId="68A886C9" w14:textId="77777777" w:rsidR="00D23949" w:rsidRPr="00226D5F" w:rsidRDefault="00D23949" w:rsidP="00226D5F">
      <w:pPr>
        <w:spacing w:before="0" w:after="0" w:line="276" w:lineRule="auto"/>
        <w:jc w:val="both"/>
        <w:rPr>
          <w:rFonts w:cs="Arial"/>
          <w:b/>
          <w:szCs w:val="24"/>
        </w:rPr>
      </w:pPr>
      <w:r w:rsidRPr="00226D5F">
        <w:rPr>
          <w:rFonts w:cs="Arial"/>
          <w:b/>
          <w:szCs w:val="24"/>
        </w:rPr>
        <w:t>Legitimate Relationship</w:t>
      </w:r>
    </w:p>
    <w:p w14:paraId="2447C7AE" w14:textId="77777777" w:rsidR="00D23949" w:rsidRPr="00226D5F" w:rsidRDefault="00D23949" w:rsidP="00226D5F">
      <w:pPr>
        <w:spacing w:before="0" w:after="0" w:line="276" w:lineRule="auto"/>
        <w:jc w:val="both"/>
        <w:rPr>
          <w:rFonts w:cs="Arial"/>
          <w:szCs w:val="24"/>
        </w:rPr>
      </w:pPr>
      <w:r w:rsidRPr="00226D5F">
        <w:rPr>
          <w:rFonts w:cs="Arial"/>
          <w:szCs w:val="24"/>
        </w:rPr>
        <w:t xml:space="preserve">Legitimate relationship is an important concept that needs to be considered as part of access control. The Information Governance Review 2013 defines “Legitimate relationship” as </w:t>
      </w:r>
      <w:r w:rsidRPr="00226D5F">
        <w:rPr>
          <w:rFonts w:cs="Arial"/>
          <w:i/>
          <w:szCs w:val="24"/>
        </w:rPr>
        <w:t>“the legal relationship that exists between an individual and the health and social care professionals and staff providing or supporting their care</w:t>
      </w:r>
      <w:r w:rsidRPr="00226D5F">
        <w:rPr>
          <w:rStyle w:val="FootnoteReference"/>
          <w:rFonts w:cs="Arial"/>
          <w:szCs w:val="24"/>
        </w:rPr>
        <w:footnoteReference w:id="20"/>
      </w:r>
      <w:r w:rsidRPr="00226D5F">
        <w:rPr>
          <w:rFonts w:cs="Arial"/>
          <w:szCs w:val="24"/>
        </w:rPr>
        <w:t xml:space="preserve">” LHCRs need to ensure that only health and care professionals who have a legitimate need to see the patient’s record can see information about the patient. </w:t>
      </w:r>
    </w:p>
    <w:p w14:paraId="70C41EF2" w14:textId="77777777" w:rsidR="00226D5F" w:rsidRDefault="00226D5F" w:rsidP="00226D5F">
      <w:pPr>
        <w:spacing w:before="0" w:after="0" w:line="276" w:lineRule="auto"/>
        <w:jc w:val="both"/>
        <w:rPr>
          <w:rFonts w:cs="Arial"/>
          <w:szCs w:val="24"/>
        </w:rPr>
      </w:pPr>
    </w:p>
    <w:p w14:paraId="2EE427B8" w14:textId="77777777" w:rsidR="00D23949" w:rsidRPr="00226D5F" w:rsidRDefault="00D23949" w:rsidP="00226D5F">
      <w:pPr>
        <w:spacing w:before="0" w:after="0" w:line="276" w:lineRule="auto"/>
        <w:jc w:val="both"/>
        <w:rPr>
          <w:rFonts w:cs="Arial"/>
          <w:szCs w:val="24"/>
        </w:rPr>
      </w:pPr>
      <w:r w:rsidRPr="00226D5F">
        <w:rPr>
          <w:rFonts w:cs="Arial"/>
          <w:szCs w:val="24"/>
        </w:rPr>
        <w:lastRenderedPageBreak/>
        <w:t xml:space="preserve">A legitimate relationship is created by a patient event and it is only whilst the legitimate relationship exists that the patient record should be accessed by the clinician or appropriate personnel. </w:t>
      </w:r>
    </w:p>
    <w:p w14:paraId="01D496CA" w14:textId="77777777" w:rsidR="00226D5F" w:rsidRDefault="00226D5F" w:rsidP="00226D5F">
      <w:pPr>
        <w:spacing w:before="0" w:after="0" w:line="276" w:lineRule="auto"/>
        <w:jc w:val="both"/>
        <w:rPr>
          <w:rFonts w:cs="Arial"/>
          <w:b/>
          <w:szCs w:val="24"/>
        </w:rPr>
      </w:pPr>
    </w:p>
    <w:p w14:paraId="53A967CC" w14:textId="77777777" w:rsidR="00D23949" w:rsidRPr="00226D5F" w:rsidRDefault="00D23949" w:rsidP="00226D5F">
      <w:pPr>
        <w:spacing w:before="0" w:after="0" w:line="276" w:lineRule="auto"/>
        <w:jc w:val="both"/>
        <w:rPr>
          <w:rFonts w:cs="Arial"/>
          <w:szCs w:val="24"/>
        </w:rPr>
      </w:pPr>
      <w:r w:rsidRPr="00226D5F">
        <w:rPr>
          <w:rFonts w:cs="Arial"/>
          <w:b/>
          <w:szCs w:val="24"/>
        </w:rPr>
        <w:t>Role based access</w:t>
      </w:r>
      <w:r w:rsidRPr="00226D5F">
        <w:rPr>
          <w:rFonts w:cs="Arial"/>
          <w:szCs w:val="24"/>
        </w:rPr>
        <w:t xml:space="preserve"> (which controls the level of data access that the professional can see on the patient record) and </w:t>
      </w:r>
      <w:r w:rsidRPr="00226D5F">
        <w:rPr>
          <w:rFonts w:cs="Arial"/>
          <w:b/>
          <w:szCs w:val="24"/>
        </w:rPr>
        <w:t>legitimate relationship</w:t>
      </w:r>
      <w:r w:rsidRPr="00226D5F">
        <w:rPr>
          <w:rFonts w:cs="Arial"/>
          <w:szCs w:val="24"/>
        </w:rPr>
        <w:t xml:space="preserve"> (which confirms whether there is a reason why the patient record is accessed by the said professional). Together, these both help to demonstrate access control to confidential patient information. </w:t>
      </w:r>
    </w:p>
    <w:p w14:paraId="24FFE198" w14:textId="77777777" w:rsidR="00226D5F" w:rsidRDefault="00226D5F" w:rsidP="00226D5F">
      <w:pPr>
        <w:spacing w:before="0" w:after="0" w:line="276" w:lineRule="auto"/>
        <w:jc w:val="both"/>
        <w:rPr>
          <w:rFonts w:cs="Arial"/>
          <w:szCs w:val="24"/>
        </w:rPr>
      </w:pPr>
    </w:p>
    <w:p w14:paraId="077E3E97" w14:textId="77777777" w:rsidR="00D23949" w:rsidRPr="00226D5F" w:rsidRDefault="00D23949" w:rsidP="00226D5F">
      <w:pPr>
        <w:spacing w:before="0" w:after="0" w:line="276" w:lineRule="auto"/>
        <w:jc w:val="both"/>
        <w:rPr>
          <w:rFonts w:cs="Arial"/>
          <w:szCs w:val="24"/>
        </w:rPr>
      </w:pPr>
      <w:r w:rsidRPr="00226D5F">
        <w:rPr>
          <w:rFonts w:cs="Arial"/>
          <w:szCs w:val="24"/>
        </w:rPr>
        <w:t xml:space="preserve">Legitimate relationship is triggered by patient events and will support reasons why access is required to the patient record. </w:t>
      </w:r>
      <w:r w:rsidR="00E60E16" w:rsidRPr="00226D5F">
        <w:rPr>
          <w:rFonts w:cs="Arial"/>
          <w:szCs w:val="24"/>
        </w:rPr>
        <w:t xml:space="preserve"> </w:t>
      </w:r>
      <w:r w:rsidRPr="00226D5F">
        <w:rPr>
          <w:rFonts w:cs="Arial"/>
          <w:szCs w:val="24"/>
        </w:rPr>
        <w:t xml:space="preserve">Some examples are listed below: </w:t>
      </w:r>
    </w:p>
    <w:p w14:paraId="1133ED71" w14:textId="77777777" w:rsidR="00D23949"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Patient Referral/ Request:</w:t>
      </w:r>
      <w:r w:rsidRPr="00226D5F">
        <w:rPr>
          <w:rFonts w:ascii="Arial" w:hAnsi="Arial"/>
          <w:szCs w:val="24"/>
        </w:rPr>
        <w:t xml:space="preserve"> A legitimate relationship is created when a referral or service request is made. Some examples are: </w:t>
      </w:r>
    </w:p>
    <w:p w14:paraId="1028BF93" w14:textId="77777777" w:rsidR="00D23949" w:rsidRPr="00226D5F" w:rsidRDefault="00D23949" w:rsidP="00B914EE">
      <w:pPr>
        <w:pStyle w:val="ListParagraph"/>
        <w:numPr>
          <w:ilvl w:val="0"/>
          <w:numId w:val="39"/>
        </w:numPr>
        <w:tabs>
          <w:tab w:val="clear" w:pos="4890"/>
        </w:tabs>
        <w:spacing w:before="0" w:after="0" w:line="276" w:lineRule="auto"/>
        <w:rPr>
          <w:rFonts w:ascii="Arial" w:hAnsi="Arial"/>
          <w:szCs w:val="24"/>
        </w:rPr>
      </w:pPr>
      <w:r w:rsidRPr="00226D5F">
        <w:rPr>
          <w:rFonts w:ascii="Arial" w:hAnsi="Arial"/>
          <w:szCs w:val="24"/>
        </w:rPr>
        <w:t>A referral between consultants in a hospital</w:t>
      </w:r>
    </w:p>
    <w:p w14:paraId="064A34BC" w14:textId="77777777" w:rsidR="00D23949" w:rsidRPr="00226D5F" w:rsidRDefault="00D23949" w:rsidP="00B914EE">
      <w:pPr>
        <w:pStyle w:val="ListParagraph"/>
        <w:numPr>
          <w:ilvl w:val="0"/>
          <w:numId w:val="39"/>
        </w:numPr>
        <w:tabs>
          <w:tab w:val="clear" w:pos="4890"/>
        </w:tabs>
        <w:spacing w:before="0" w:after="0" w:line="276" w:lineRule="auto"/>
        <w:rPr>
          <w:rFonts w:ascii="Arial" w:hAnsi="Arial"/>
          <w:szCs w:val="24"/>
        </w:rPr>
      </w:pPr>
      <w:r w:rsidRPr="00226D5F">
        <w:rPr>
          <w:rFonts w:ascii="Arial" w:hAnsi="Arial"/>
          <w:szCs w:val="24"/>
        </w:rPr>
        <w:t xml:space="preserve">A request for a laboratory test; </w:t>
      </w:r>
    </w:p>
    <w:p w14:paraId="67D5CAF7" w14:textId="77777777" w:rsidR="00D23949" w:rsidRPr="00226D5F" w:rsidRDefault="00D23949" w:rsidP="00B914EE">
      <w:pPr>
        <w:pStyle w:val="ListParagraph"/>
        <w:numPr>
          <w:ilvl w:val="0"/>
          <w:numId w:val="39"/>
        </w:numPr>
        <w:tabs>
          <w:tab w:val="clear" w:pos="4890"/>
        </w:tabs>
        <w:spacing w:before="0" w:after="0" w:line="276" w:lineRule="auto"/>
        <w:rPr>
          <w:rFonts w:ascii="Arial" w:hAnsi="Arial"/>
          <w:szCs w:val="24"/>
        </w:rPr>
      </w:pPr>
      <w:r w:rsidRPr="00226D5F">
        <w:rPr>
          <w:rFonts w:ascii="Arial" w:hAnsi="Arial"/>
          <w:szCs w:val="24"/>
        </w:rPr>
        <w:t>booking an appointment for a patient</w:t>
      </w:r>
    </w:p>
    <w:p w14:paraId="0FD84831" w14:textId="77777777" w:rsidR="00D23949" w:rsidRPr="00226D5F" w:rsidRDefault="00D23949" w:rsidP="00B914EE">
      <w:pPr>
        <w:pStyle w:val="ListParagraph"/>
        <w:numPr>
          <w:ilvl w:val="0"/>
          <w:numId w:val="39"/>
        </w:numPr>
        <w:tabs>
          <w:tab w:val="clear" w:pos="4890"/>
        </w:tabs>
        <w:spacing w:before="0" w:after="0" w:line="276" w:lineRule="auto"/>
        <w:rPr>
          <w:rFonts w:ascii="Arial" w:hAnsi="Arial"/>
          <w:szCs w:val="24"/>
        </w:rPr>
      </w:pPr>
      <w:r w:rsidRPr="00226D5F">
        <w:rPr>
          <w:rFonts w:ascii="Arial" w:hAnsi="Arial"/>
          <w:szCs w:val="24"/>
        </w:rPr>
        <w:t xml:space="preserve">an admission to a hospital ward; </w:t>
      </w:r>
    </w:p>
    <w:p w14:paraId="775626D6" w14:textId="77777777" w:rsidR="00D23949" w:rsidRPr="00226D5F" w:rsidRDefault="00D23949" w:rsidP="00B914EE">
      <w:pPr>
        <w:pStyle w:val="ListParagraph"/>
        <w:numPr>
          <w:ilvl w:val="0"/>
          <w:numId w:val="39"/>
        </w:numPr>
        <w:tabs>
          <w:tab w:val="clear" w:pos="4890"/>
        </w:tabs>
        <w:spacing w:before="0" w:after="0" w:line="276" w:lineRule="auto"/>
        <w:rPr>
          <w:rFonts w:ascii="Arial" w:hAnsi="Arial"/>
          <w:szCs w:val="24"/>
        </w:rPr>
      </w:pPr>
      <w:r w:rsidRPr="00226D5F">
        <w:rPr>
          <w:rFonts w:ascii="Arial" w:hAnsi="Arial"/>
          <w:szCs w:val="24"/>
        </w:rPr>
        <w:t>when a member of staff requests a service from another member of staff or team on behalf of the patient</w:t>
      </w:r>
    </w:p>
    <w:p w14:paraId="3F1CD1EF" w14:textId="77777777" w:rsidR="007F774B" w:rsidRPr="00226D5F" w:rsidRDefault="007F774B" w:rsidP="00226D5F">
      <w:pPr>
        <w:pStyle w:val="ListParagraph"/>
        <w:numPr>
          <w:ilvl w:val="0"/>
          <w:numId w:val="0"/>
        </w:numPr>
        <w:tabs>
          <w:tab w:val="clear" w:pos="4890"/>
        </w:tabs>
        <w:spacing w:before="0" w:after="0" w:line="276" w:lineRule="auto"/>
        <w:ind w:left="1440"/>
        <w:rPr>
          <w:rFonts w:ascii="Arial" w:hAnsi="Arial"/>
          <w:szCs w:val="24"/>
        </w:rPr>
      </w:pPr>
    </w:p>
    <w:p w14:paraId="4FAE90C5" w14:textId="77777777" w:rsidR="00226D5F"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Patient Self-Referral</w:t>
      </w:r>
      <w:r w:rsidRPr="00226D5F">
        <w:rPr>
          <w:rFonts w:ascii="Arial" w:hAnsi="Arial"/>
          <w:szCs w:val="24"/>
        </w:rPr>
        <w:t>:</w:t>
      </w:r>
      <w:r w:rsidRPr="00226D5F">
        <w:rPr>
          <w:rFonts w:ascii="Arial" w:hAnsi="Arial"/>
          <w:b/>
          <w:szCs w:val="24"/>
        </w:rPr>
        <w:t xml:space="preserve"> </w:t>
      </w:r>
      <w:r w:rsidRPr="00226D5F">
        <w:rPr>
          <w:rFonts w:ascii="Arial" w:hAnsi="Arial"/>
          <w:szCs w:val="24"/>
        </w:rPr>
        <w:t>A legitimate relationship is created when a patient attends Accident &amp; Emergency and upon registering when they enter. This will create a self-referral legitimate relationship and this will enable clinical staff to view the patients record. Similarly, if a patient attends a walk-in clinic, this is a self-referral and again a patient self-referral legitimate relationship can be created between the patient and the workforce group providing the service in question.</w:t>
      </w:r>
    </w:p>
    <w:p w14:paraId="76F4B253" w14:textId="77777777" w:rsidR="00D23949" w:rsidRPr="00226D5F" w:rsidRDefault="00D23949" w:rsidP="00226D5F">
      <w:pPr>
        <w:pStyle w:val="ListParagraph"/>
        <w:numPr>
          <w:ilvl w:val="0"/>
          <w:numId w:val="0"/>
        </w:numPr>
        <w:tabs>
          <w:tab w:val="clear" w:pos="4890"/>
        </w:tabs>
        <w:spacing w:before="0" w:after="0" w:line="276" w:lineRule="auto"/>
        <w:ind w:left="720"/>
        <w:rPr>
          <w:rFonts w:ascii="Arial" w:hAnsi="Arial"/>
          <w:szCs w:val="24"/>
        </w:rPr>
      </w:pPr>
    </w:p>
    <w:p w14:paraId="246A1569" w14:textId="77777777" w:rsid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General Practice Registration:</w:t>
      </w:r>
      <w:r w:rsidRPr="00226D5F">
        <w:rPr>
          <w:rFonts w:ascii="Arial" w:hAnsi="Arial"/>
          <w:szCs w:val="24"/>
        </w:rPr>
        <w:t xml:space="preserve"> When a patient registers with a new general practitioner, a legitimate relationship is created. Clinicians will be entitled to access clinical record by using the legitimate relationship created when the patient registered. Also, administrators working in a general practice need access to limited clinical information about the patient, and so the Legitimate Relationship created at registration must allow for this.</w:t>
      </w:r>
    </w:p>
    <w:p w14:paraId="14C42F58" w14:textId="77777777" w:rsidR="00226D5F" w:rsidRPr="00226D5F" w:rsidRDefault="00226D5F" w:rsidP="00226D5F">
      <w:pPr>
        <w:pStyle w:val="ListParagraph"/>
        <w:numPr>
          <w:ilvl w:val="0"/>
          <w:numId w:val="0"/>
        </w:numPr>
        <w:ind w:left="720"/>
        <w:rPr>
          <w:rFonts w:ascii="Arial" w:hAnsi="Arial"/>
          <w:szCs w:val="24"/>
        </w:rPr>
      </w:pPr>
    </w:p>
    <w:p w14:paraId="45590069" w14:textId="77777777" w:rsid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Patient Registration:</w:t>
      </w:r>
      <w:r w:rsidRPr="00226D5F">
        <w:rPr>
          <w:rFonts w:ascii="Arial" w:hAnsi="Arial"/>
          <w:szCs w:val="24"/>
        </w:rPr>
        <w:t xml:space="preserve">  Legitimate relationships will be applied to other situations such as registration with NHS Dentistry, screening and other situations where patients are added and removed from a well-defined, registered service</w:t>
      </w:r>
    </w:p>
    <w:p w14:paraId="027193E4" w14:textId="77777777" w:rsidR="00D23949" w:rsidRPr="00226D5F" w:rsidRDefault="00D23949" w:rsidP="00226D5F">
      <w:pPr>
        <w:pStyle w:val="ListParagraph"/>
        <w:numPr>
          <w:ilvl w:val="0"/>
          <w:numId w:val="0"/>
        </w:numPr>
        <w:ind w:left="720"/>
        <w:rPr>
          <w:rFonts w:ascii="Arial" w:hAnsi="Arial"/>
          <w:szCs w:val="24"/>
        </w:rPr>
      </w:pPr>
    </w:p>
    <w:p w14:paraId="5A4339D7" w14:textId="77777777" w:rsidR="00226D5F"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 xml:space="preserve">Subject Access Requests: </w:t>
      </w:r>
      <w:r w:rsidRPr="00226D5F">
        <w:rPr>
          <w:rFonts w:ascii="Arial" w:hAnsi="Arial"/>
          <w:szCs w:val="24"/>
        </w:rPr>
        <w:t xml:space="preserve"> Under GDPR, an individual has a right of access and this subject access request must be processed within a set time frame and provide the subject of the request with a copy of all the personal data held within their record. A legitimate relationship may be created through receiving this request particularly if in a general practice setting, the patient has left the practice. This is only for the length of time that it takes to process the SAR.</w:t>
      </w:r>
    </w:p>
    <w:p w14:paraId="600EC6CC" w14:textId="77777777" w:rsidR="00D23949" w:rsidRPr="00226D5F" w:rsidRDefault="00D23949" w:rsidP="00226D5F">
      <w:pPr>
        <w:pStyle w:val="ListParagraph"/>
        <w:numPr>
          <w:ilvl w:val="0"/>
          <w:numId w:val="0"/>
        </w:numPr>
        <w:tabs>
          <w:tab w:val="clear" w:pos="4890"/>
        </w:tabs>
        <w:spacing w:before="0" w:after="0" w:line="276" w:lineRule="auto"/>
        <w:ind w:left="720"/>
        <w:rPr>
          <w:rFonts w:ascii="Arial" w:hAnsi="Arial"/>
          <w:szCs w:val="24"/>
        </w:rPr>
      </w:pPr>
    </w:p>
    <w:p w14:paraId="31ED5AD9" w14:textId="77777777" w:rsidR="00226D5F"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 xml:space="preserve">Patient Complaint or Litigation: </w:t>
      </w:r>
      <w:r w:rsidRPr="00226D5F">
        <w:rPr>
          <w:rFonts w:ascii="Arial" w:hAnsi="Arial"/>
          <w:szCs w:val="24"/>
        </w:rPr>
        <w:t xml:space="preserve">When a patient complains or begins litigation with respect to some aspect(s) of the service that they receive from an NHS organisation, their complaint must be investigated. Some complaints that do not have anything to do with the care received will not require access to a patient clinical record, so no legitimate relationship will be created. Where patients submitting complaints are unhappy with the clinical care that they have received, these complaints will need to be properly investigated and will require access to relevant information within the patient clinical record. Therefore, when the complaint is </w:t>
      </w:r>
      <w:r w:rsidRPr="00226D5F">
        <w:rPr>
          <w:rFonts w:ascii="Arial" w:hAnsi="Arial"/>
          <w:szCs w:val="24"/>
        </w:rPr>
        <w:lastRenderedPageBreak/>
        <w:t>received and recorded in the system, a legitimate relationship is created between the patient and the team (work group) carrying out the investigation.</w:t>
      </w:r>
    </w:p>
    <w:p w14:paraId="79C30F65" w14:textId="77777777" w:rsidR="00D23949" w:rsidRPr="00226D5F" w:rsidRDefault="00D23949" w:rsidP="00226D5F">
      <w:pPr>
        <w:pStyle w:val="ListParagraph"/>
        <w:numPr>
          <w:ilvl w:val="0"/>
          <w:numId w:val="0"/>
        </w:numPr>
        <w:tabs>
          <w:tab w:val="clear" w:pos="4890"/>
        </w:tabs>
        <w:spacing w:before="0" w:after="0" w:line="276" w:lineRule="auto"/>
        <w:ind w:left="720"/>
        <w:rPr>
          <w:rFonts w:ascii="Arial" w:hAnsi="Arial"/>
          <w:szCs w:val="24"/>
        </w:rPr>
      </w:pPr>
    </w:p>
    <w:p w14:paraId="4B328A5B" w14:textId="77777777" w:rsidR="00226D5F"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Self-Claimed:</w:t>
      </w:r>
      <w:r w:rsidRPr="00226D5F">
        <w:rPr>
          <w:rFonts w:ascii="Arial" w:hAnsi="Arial"/>
          <w:szCs w:val="24"/>
        </w:rPr>
        <w:t xml:space="preserve"> In occasions where a care professional is denied access to the patient record because there is no existing legitimate relationship but there is an urgent need to view the patient record, if they have sufficient authorisation, they will be able to gain access to the patient record through the creation of a self-claimed legitimate relationship. This is only for a limited time and justification would need to be recorded. If a member of staff is found to have self-claimed inappropriately, they will need to face disciplinary procedures</w:t>
      </w:r>
    </w:p>
    <w:p w14:paraId="6CF297DA" w14:textId="77777777" w:rsidR="00D23949" w:rsidRPr="00226D5F" w:rsidRDefault="00D23949" w:rsidP="00226D5F">
      <w:pPr>
        <w:pStyle w:val="ListParagraph"/>
        <w:numPr>
          <w:ilvl w:val="0"/>
          <w:numId w:val="0"/>
        </w:numPr>
        <w:ind w:left="720"/>
        <w:rPr>
          <w:rFonts w:ascii="Arial" w:hAnsi="Arial"/>
          <w:szCs w:val="24"/>
        </w:rPr>
      </w:pPr>
    </w:p>
    <w:p w14:paraId="31B87B62" w14:textId="77777777" w:rsidR="00226D5F"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Colleague-Granted</w:t>
      </w:r>
      <w:r w:rsidRPr="00226D5F">
        <w:rPr>
          <w:rFonts w:ascii="Arial" w:hAnsi="Arial"/>
          <w:szCs w:val="24"/>
        </w:rPr>
        <w:t>: if a</w:t>
      </w:r>
      <w:r w:rsidRPr="00226D5F">
        <w:rPr>
          <w:rFonts w:ascii="Arial" w:hAnsi="Arial"/>
          <w:b/>
          <w:szCs w:val="24"/>
        </w:rPr>
        <w:t xml:space="preserve"> </w:t>
      </w:r>
      <w:r w:rsidRPr="00226D5F">
        <w:rPr>
          <w:rFonts w:ascii="Arial" w:hAnsi="Arial"/>
          <w:szCs w:val="24"/>
        </w:rPr>
        <w:t>care professional wants to ask a colleague for a second opinion about a patient, and agrees this with the patient. However, if the colleague works in a different Workgroup, he or she is unlikely to have a Legitimate Relationship with the patient. In such circumstances, the patient's doctor can create a Colleague-Granted Legitimate Relationship to provide the colleague with access to the patient’s clinical record.</w:t>
      </w:r>
    </w:p>
    <w:p w14:paraId="0D623BBE" w14:textId="77777777" w:rsidR="00D23949" w:rsidRPr="00226D5F" w:rsidRDefault="00D23949" w:rsidP="00226D5F">
      <w:pPr>
        <w:pStyle w:val="ListParagraph"/>
        <w:numPr>
          <w:ilvl w:val="0"/>
          <w:numId w:val="0"/>
        </w:numPr>
        <w:ind w:left="720"/>
        <w:rPr>
          <w:rFonts w:ascii="Arial" w:hAnsi="Arial"/>
          <w:szCs w:val="24"/>
        </w:rPr>
      </w:pPr>
    </w:p>
    <w:p w14:paraId="0C9A9309" w14:textId="77777777" w:rsidR="00D23949" w:rsidRPr="00226D5F" w:rsidRDefault="00D23949" w:rsidP="00B914EE">
      <w:pPr>
        <w:pStyle w:val="ListParagraph"/>
        <w:numPr>
          <w:ilvl w:val="0"/>
          <w:numId w:val="40"/>
        </w:numPr>
        <w:tabs>
          <w:tab w:val="clear" w:pos="4890"/>
        </w:tabs>
        <w:spacing w:before="0" w:after="0" w:line="276" w:lineRule="auto"/>
        <w:ind w:left="720"/>
        <w:rPr>
          <w:rFonts w:ascii="Arial" w:hAnsi="Arial"/>
          <w:szCs w:val="24"/>
        </w:rPr>
      </w:pPr>
      <w:r w:rsidRPr="00226D5F">
        <w:rPr>
          <w:rFonts w:ascii="Arial" w:hAnsi="Arial"/>
          <w:b/>
          <w:szCs w:val="24"/>
        </w:rPr>
        <w:t>Court Order:</w:t>
      </w:r>
      <w:r w:rsidRPr="00226D5F">
        <w:rPr>
          <w:rFonts w:ascii="Arial" w:hAnsi="Arial"/>
          <w:szCs w:val="24"/>
        </w:rPr>
        <w:t xml:space="preserve"> A court may demand information from a patient’s clinical record. This will require someone from an NHS organisation to access the patient’s clinical record. In this case, a legitimate relationship will be established between patient and the workgroup allowing for relevant information to be accessed and extracted from the patient record to satisfy the court.</w:t>
      </w:r>
    </w:p>
    <w:p w14:paraId="21077DCA" w14:textId="77777777" w:rsidR="00226D5F" w:rsidRDefault="00226D5F" w:rsidP="00226D5F">
      <w:pPr>
        <w:spacing w:before="0" w:after="0" w:line="276" w:lineRule="auto"/>
        <w:jc w:val="both"/>
        <w:rPr>
          <w:rFonts w:cs="Arial"/>
          <w:b/>
          <w:szCs w:val="24"/>
        </w:rPr>
      </w:pPr>
    </w:p>
    <w:p w14:paraId="377166BB" w14:textId="77777777" w:rsidR="00D23949" w:rsidRPr="00226D5F" w:rsidRDefault="00F4683B" w:rsidP="00226D5F">
      <w:pPr>
        <w:spacing w:before="0" w:after="0" w:line="276" w:lineRule="auto"/>
        <w:jc w:val="both"/>
        <w:rPr>
          <w:rFonts w:cs="Arial"/>
          <w:b/>
          <w:szCs w:val="24"/>
        </w:rPr>
      </w:pPr>
      <w:r w:rsidRPr="00226D5F">
        <w:rPr>
          <w:rFonts w:cs="Arial"/>
          <w:b/>
          <w:szCs w:val="24"/>
        </w:rPr>
        <w:t>A</w:t>
      </w:r>
      <w:r w:rsidR="00D23949" w:rsidRPr="00226D5F">
        <w:rPr>
          <w:rFonts w:cs="Arial"/>
          <w:b/>
          <w:szCs w:val="24"/>
        </w:rPr>
        <w:t>udit</w:t>
      </w:r>
    </w:p>
    <w:p w14:paraId="147EDE31" w14:textId="77777777" w:rsidR="00D23949" w:rsidRDefault="00D23949" w:rsidP="00226D5F">
      <w:pPr>
        <w:spacing w:before="0" w:after="0" w:line="276" w:lineRule="auto"/>
        <w:jc w:val="both"/>
        <w:rPr>
          <w:rFonts w:cs="Arial"/>
          <w:szCs w:val="24"/>
        </w:rPr>
      </w:pPr>
      <w:r w:rsidRPr="00226D5F">
        <w:rPr>
          <w:rFonts w:cs="Arial"/>
          <w:szCs w:val="24"/>
        </w:rPr>
        <w:t xml:space="preserve">An effective RBAC will allow organisations to be able to audit who has accessed a patient record. This is an important for transparency and to build patient trust. </w:t>
      </w:r>
    </w:p>
    <w:p w14:paraId="621EB180" w14:textId="77777777" w:rsidR="00226D5F" w:rsidRPr="00226D5F" w:rsidRDefault="00226D5F" w:rsidP="00226D5F">
      <w:pPr>
        <w:spacing w:before="0" w:after="0" w:line="276" w:lineRule="auto"/>
        <w:jc w:val="both"/>
        <w:rPr>
          <w:rFonts w:cs="Arial"/>
          <w:color w:val="000000" w:themeColor="text1"/>
          <w:szCs w:val="24"/>
          <w:lang w:val="en-US" w:eastAsia="en-GB"/>
        </w:rPr>
      </w:pPr>
    </w:p>
    <w:p w14:paraId="4E8C6214" w14:textId="77777777" w:rsidR="00D23949" w:rsidRPr="00226D5F" w:rsidRDefault="00D23949" w:rsidP="00226D5F">
      <w:pPr>
        <w:spacing w:before="0" w:after="0" w:line="276" w:lineRule="auto"/>
        <w:jc w:val="both"/>
        <w:rPr>
          <w:rFonts w:cs="Arial"/>
          <w:color w:val="000000" w:themeColor="text1"/>
          <w:szCs w:val="24"/>
          <w:lang w:val="en-US" w:eastAsia="en-GB"/>
        </w:rPr>
      </w:pPr>
      <w:r w:rsidRPr="00226D5F">
        <w:rPr>
          <w:rFonts w:cs="Arial"/>
          <w:color w:val="000000" w:themeColor="text1"/>
          <w:szCs w:val="24"/>
          <w:lang w:val="en-US" w:eastAsia="en-GB"/>
        </w:rPr>
        <w:t>Patients have the right to know who has access rights to their patient record, who has accessed their patient record for processing. Patients can challenge the access and if a complaint is received, this will require reactive and targeted auditing to response to specific concerned.</w:t>
      </w:r>
    </w:p>
    <w:p w14:paraId="7A9B664A" w14:textId="77777777" w:rsidR="00226D5F" w:rsidRDefault="00226D5F" w:rsidP="00226D5F">
      <w:pPr>
        <w:spacing w:before="0" w:after="0" w:line="276" w:lineRule="auto"/>
        <w:jc w:val="both"/>
        <w:rPr>
          <w:rFonts w:cs="Arial"/>
          <w:szCs w:val="24"/>
        </w:rPr>
      </w:pPr>
    </w:p>
    <w:p w14:paraId="36B01A99" w14:textId="77777777" w:rsidR="00D23949" w:rsidRPr="00226D5F" w:rsidRDefault="00D23949" w:rsidP="00226D5F">
      <w:pPr>
        <w:spacing w:before="0" w:after="0" w:line="276" w:lineRule="auto"/>
        <w:jc w:val="both"/>
        <w:rPr>
          <w:rFonts w:cs="Arial"/>
          <w:szCs w:val="24"/>
        </w:rPr>
      </w:pPr>
      <w:r w:rsidRPr="00226D5F">
        <w:rPr>
          <w:rFonts w:cs="Arial"/>
          <w:szCs w:val="24"/>
        </w:rPr>
        <w:t>Where an incident is identified, organisations would be able to determine if the individual who accessed the patient record had correctly claimed a legitimate relationship. If data access is deemed to have been inappropriate, organisations must take the necessary remedial and/or disciplinary action.</w:t>
      </w:r>
    </w:p>
    <w:p w14:paraId="1CF920D9" w14:textId="77777777" w:rsidR="00226D5F" w:rsidRDefault="00226D5F" w:rsidP="00226D5F">
      <w:pPr>
        <w:spacing w:before="0" w:after="0" w:line="276" w:lineRule="auto"/>
        <w:jc w:val="both"/>
        <w:rPr>
          <w:rFonts w:cs="Arial"/>
          <w:szCs w:val="24"/>
        </w:rPr>
      </w:pPr>
    </w:p>
    <w:p w14:paraId="1C6DE054" w14:textId="77777777" w:rsidR="00D23949" w:rsidRPr="00226D5F" w:rsidRDefault="00D23949" w:rsidP="00226D5F">
      <w:pPr>
        <w:spacing w:before="0" w:after="0" w:line="276" w:lineRule="auto"/>
        <w:jc w:val="both"/>
        <w:rPr>
          <w:rFonts w:cs="Arial"/>
          <w:szCs w:val="24"/>
        </w:rPr>
      </w:pPr>
      <w:r w:rsidRPr="00226D5F">
        <w:rPr>
          <w:rFonts w:cs="Arial"/>
          <w:szCs w:val="24"/>
        </w:rPr>
        <w:t>Organisations should also undertake regular auditing to confirm that all users have the correct access rights assigned to them.</w:t>
      </w:r>
    </w:p>
    <w:p w14:paraId="3E43B289" w14:textId="77777777" w:rsidR="00932BDE" w:rsidRDefault="00932BDE" w:rsidP="007F774B"/>
    <w:p w14:paraId="4624F834" w14:textId="77777777" w:rsidR="00D23949" w:rsidRDefault="00D23949">
      <w:pPr>
        <w:spacing w:before="0" w:after="160" w:line="259" w:lineRule="auto"/>
      </w:pPr>
      <w:r>
        <w:br w:type="page"/>
      </w:r>
    </w:p>
    <w:p w14:paraId="1352B2D8" w14:textId="77777777" w:rsidR="00D23949" w:rsidRPr="00032CF3" w:rsidRDefault="00D23949" w:rsidP="00D23949">
      <w:pPr>
        <w:pStyle w:val="Heading2"/>
        <w:rPr>
          <w:rFonts w:cs="Arial"/>
        </w:rPr>
      </w:pPr>
      <w:bookmarkStart w:id="87" w:name="_Toc10223095"/>
      <w:r w:rsidRPr="00032CF3">
        <w:rPr>
          <w:rFonts w:cs="Arial"/>
        </w:rPr>
        <w:lastRenderedPageBreak/>
        <w:t xml:space="preserve">Appendix </w:t>
      </w:r>
      <w:r w:rsidR="001931A6">
        <w:rPr>
          <w:rFonts w:cs="Arial"/>
        </w:rPr>
        <w:t>Q</w:t>
      </w:r>
      <w:r w:rsidRPr="00032CF3">
        <w:rPr>
          <w:rFonts w:cs="Arial"/>
        </w:rPr>
        <w:t xml:space="preserve"> – </w:t>
      </w:r>
      <w:r w:rsidR="00137E80">
        <w:rPr>
          <w:rFonts w:cs="Arial"/>
        </w:rPr>
        <w:t>Patient Preferences Template Text</w:t>
      </w:r>
      <w:bookmarkEnd w:id="87"/>
    </w:p>
    <w:p w14:paraId="66A3B4AD" w14:textId="077B37A6" w:rsidR="00137E80" w:rsidRDefault="00137E80" w:rsidP="00E12E4E">
      <w:pPr>
        <w:spacing w:before="0" w:after="0" w:line="276" w:lineRule="auto"/>
        <w:jc w:val="both"/>
        <w:rPr>
          <w:b/>
          <w:bCs w:val="0"/>
        </w:rPr>
      </w:pPr>
      <w:r>
        <w:t>It would be helpful if LHCRs were using similar language when describing these different options (e.g. on websites) to avoid confusion when patients move between LHCRs and hence some template text is provided below:-</w:t>
      </w:r>
    </w:p>
    <w:p w14:paraId="31573122" w14:textId="77777777" w:rsidR="00137E80" w:rsidRDefault="00137E80" w:rsidP="00E12E4E">
      <w:pPr>
        <w:spacing w:before="0" w:after="0" w:line="276" w:lineRule="auto"/>
        <w:rPr>
          <w:b/>
          <w:bCs w:val="0"/>
        </w:rPr>
      </w:pPr>
    </w:p>
    <w:p w14:paraId="1F608D72" w14:textId="77777777" w:rsidR="008C12E0" w:rsidRDefault="008C12E0" w:rsidP="008C12E0">
      <w:pPr>
        <w:rPr>
          <w:rFonts w:ascii="Calibri" w:hAnsi="Calibri"/>
          <w:bCs w:val="0"/>
          <w:sz w:val="22"/>
          <w:szCs w:val="22"/>
        </w:rPr>
      </w:pPr>
      <w:r>
        <w:rPr>
          <w:b/>
          <w:bCs w:val="0"/>
        </w:rPr>
        <w:t>Right to object</w:t>
      </w:r>
    </w:p>
    <w:p w14:paraId="561F1778" w14:textId="77777777" w:rsidR="008C12E0" w:rsidRDefault="008C12E0" w:rsidP="008C12E0">
      <w:pPr>
        <w:jc w:val="both"/>
      </w:pPr>
      <w:r>
        <w:t>You have a legal right to object to your data being shared. Your objection will be considered on a case by case basis.  When considering your objection, we  will consider whether you can still be provided with safe individual care.  Please contact [</w:t>
      </w:r>
      <w:r>
        <w:rPr>
          <w:i/>
          <w:iCs/>
        </w:rPr>
        <w:t>X</w:t>
      </w:r>
      <w:r>
        <w:t xml:space="preserve">] to discuss this further.  </w:t>
      </w:r>
    </w:p>
    <w:p w14:paraId="01D43442" w14:textId="77777777" w:rsidR="008C12E0" w:rsidRDefault="008C12E0" w:rsidP="008C12E0">
      <w:pPr>
        <w:jc w:val="both"/>
      </w:pPr>
      <w:r>
        <w:t> </w:t>
      </w:r>
    </w:p>
    <w:p w14:paraId="44E57D67" w14:textId="77777777" w:rsidR="008C12E0" w:rsidRDefault="008C12E0" w:rsidP="008C12E0">
      <w:pPr>
        <w:jc w:val="both"/>
      </w:pPr>
      <w:r>
        <w:rPr>
          <w:b/>
          <w:bCs w:val="0"/>
        </w:rPr>
        <w:t>Opt-out [option]</w:t>
      </w:r>
    </w:p>
    <w:p w14:paraId="33089F74" w14:textId="77777777" w:rsidR="008C12E0" w:rsidRDefault="008C12E0" w:rsidP="008C12E0">
      <w:pPr>
        <w:jc w:val="both"/>
      </w:pPr>
      <w:r>
        <w:t>Health and care staff use your confidential patient information to help with your treatment and care.  For example, when you visit a hospital your consultant may need to know the medicines you take.   To opt out please [</w:t>
      </w:r>
      <w:r>
        <w:rPr>
          <w:i/>
          <w:iCs/>
        </w:rPr>
        <w:t>e.g. complete the following form</w:t>
      </w:r>
      <w:r>
        <w:t>].  You will be opting out of having a Local Health and Care Record.    This is separate to the Summary Care record [</w:t>
      </w:r>
      <w:r>
        <w:rPr>
          <w:i/>
          <w:iCs/>
        </w:rPr>
        <w:t xml:space="preserve">embed link </w:t>
      </w:r>
      <w:hyperlink r:id="rId61" w:history="1">
        <w:r>
          <w:rPr>
            <w:rStyle w:val="Hyperlink"/>
            <w:rFonts w:eastAsiaTheme="majorEastAsia"/>
            <w:i/>
            <w:iCs/>
          </w:rPr>
          <w:t>https://digital.nhs.uk/services/summary-care-records-scr/summary-care-records-scr-information-for-patients</w:t>
        </w:r>
      </w:hyperlink>
      <w:r>
        <w:t>] and [</w:t>
      </w:r>
      <w:r>
        <w:rPr>
          <w:i/>
          <w:iCs/>
        </w:rPr>
        <w:t>list other local opt-outs with links where possible</w:t>
      </w:r>
      <w:r>
        <w:t xml:space="preserve">] - you should continue to opt out of them separately.  </w:t>
      </w:r>
    </w:p>
    <w:p w14:paraId="6CD9F71C" w14:textId="77777777" w:rsidR="008C12E0" w:rsidRDefault="008C12E0" w:rsidP="008C12E0">
      <w:pPr>
        <w:jc w:val="both"/>
      </w:pPr>
      <w:r>
        <w:t> </w:t>
      </w:r>
    </w:p>
    <w:p w14:paraId="00E9E270" w14:textId="77777777" w:rsidR="008C12E0" w:rsidRDefault="008C12E0" w:rsidP="008C12E0">
      <w:pPr>
        <w:jc w:val="both"/>
      </w:pPr>
      <w:r>
        <w:rPr>
          <w:b/>
          <w:bCs w:val="0"/>
        </w:rPr>
        <w:t>Asking to view [option]</w:t>
      </w:r>
    </w:p>
    <w:p w14:paraId="27A0A081" w14:textId="77777777" w:rsidR="008C12E0" w:rsidRDefault="008C12E0" w:rsidP="008C12E0">
      <w:pPr>
        <w:jc w:val="both"/>
      </w:pPr>
      <w:r>
        <w:t>We will ask you before accessing your record.</w:t>
      </w:r>
    </w:p>
    <w:p w14:paraId="583A4915" w14:textId="77777777" w:rsidR="008C12E0" w:rsidRDefault="008C12E0" w:rsidP="008C12E0">
      <w:pPr>
        <w:jc w:val="both"/>
      </w:pPr>
    </w:p>
    <w:p w14:paraId="4F129643" w14:textId="77777777" w:rsidR="008C12E0" w:rsidRDefault="008C12E0" w:rsidP="008C12E0">
      <w:pPr>
        <w:jc w:val="both"/>
      </w:pPr>
      <w:r>
        <w:rPr>
          <w:b/>
          <w:bCs w:val="0"/>
        </w:rPr>
        <w:t>Your Data Matters to the NHS</w:t>
      </w:r>
    </w:p>
    <w:p w14:paraId="171B7297" w14:textId="77777777" w:rsidR="008C12E0" w:rsidRDefault="008C12E0" w:rsidP="008C12E0">
      <w:pPr>
        <w:jc w:val="both"/>
      </w:pPr>
      <w:r>
        <w:t>Information about your health and care helps us to improve your individual care, speed up diagnosis, plan your local services and research new treatments.</w:t>
      </w:r>
    </w:p>
    <w:p w14:paraId="1307D410" w14:textId="77777777" w:rsidR="008C12E0" w:rsidRDefault="008C12E0" w:rsidP="008C12E0">
      <w:pPr>
        <w:jc w:val="both"/>
      </w:pPr>
      <w:r>
        <w:t xml:space="preserve">You can choose whether your confidential patient information is used for research and planning.  To find out more visit: </w:t>
      </w:r>
      <w:hyperlink r:id="rId62" w:history="1">
        <w:r>
          <w:rPr>
            <w:rStyle w:val="Hyperlink"/>
            <w:rFonts w:eastAsiaTheme="majorEastAsia"/>
          </w:rPr>
          <w:t>nhs.uk/your-nhs-data-</w:t>
        </w:r>
      </w:hyperlink>
      <w:hyperlink r:id="rId63" w:history="1">
        <w:r>
          <w:rPr>
            <w:rStyle w:val="Hyperlink"/>
            <w:rFonts w:eastAsiaTheme="majorEastAsia"/>
          </w:rPr>
          <w:t>matters</w:t>
        </w:r>
      </w:hyperlink>
    </w:p>
    <w:p w14:paraId="2E5F2F0C" w14:textId="77777777" w:rsidR="008C12E0" w:rsidRDefault="008C12E0" w:rsidP="008C12E0">
      <w:pPr>
        <w:jc w:val="both"/>
      </w:pPr>
    </w:p>
    <w:p w14:paraId="149CB2E8" w14:textId="77777777" w:rsidR="008C12E0" w:rsidRDefault="008C12E0" w:rsidP="008C12E0">
      <w:pPr>
        <w:jc w:val="both"/>
        <w:rPr>
          <w:b/>
        </w:rPr>
      </w:pPr>
      <w:r>
        <w:rPr>
          <w:b/>
          <w:bCs w:val="0"/>
        </w:rPr>
        <w:t>[Option]</w:t>
      </w:r>
    </w:p>
    <w:p w14:paraId="5A883610" w14:textId="77777777" w:rsidR="008C12E0" w:rsidRDefault="008C12E0" w:rsidP="008C12E0">
      <w:pPr>
        <w:jc w:val="both"/>
        <w:rPr>
          <w:bCs w:val="0"/>
        </w:rPr>
      </w:pPr>
      <w:r>
        <w:t>You may also be asked to give your consent to be involved in specific research studies. In [area] you can give your consent to be involved in [</w:t>
      </w:r>
      <w:r>
        <w:rPr>
          <w:i/>
          <w:iCs/>
        </w:rPr>
        <w:t>information about the local project where consent is being sought including benefits</w:t>
      </w:r>
      <w:r>
        <w:t>]</w:t>
      </w:r>
    </w:p>
    <w:p w14:paraId="2204486D" w14:textId="77777777" w:rsidR="00D23949" w:rsidRPr="00932BDE" w:rsidRDefault="00D23949" w:rsidP="00137E80">
      <w:pPr>
        <w:jc w:val="both"/>
      </w:pPr>
    </w:p>
    <w:p w14:paraId="4AAA8101" w14:textId="6022660C" w:rsidR="00F60926" w:rsidRPr="009B5BE6" w:rsidRDefault="00F60926" w:rsidP="009B5BE6">
      <w:pPr>
        <w:spacing w:before="0" w:after="160" w:line="259" w:lineRule="auto"/>
        <w:jc w:val="both"/>
        <w:rPr>
          <w:rFonts w:cs="Arial"/>
        </w:rPr>
      </w:pPr>
    </w:p>
    <w:sectPr w:rsidR="00F60926" w:rsidRPr="009B5BE6" w:rsidSect="00ED465D">
      <w:pgSz w:w="11900" w:h="16840"/>
      <w:pgMar w:top="993" w:right="993" w:bottom="993" w:left="1127" w:header="0" w:footer="191"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9D1362" w14:textId="77777777" w:rsidR="00F539C1" w:rsidRDefault="00F539C1" w:rsidP="0063556E">
      <w:r>
        <w:separator/>
      </w:r>
    </w:p>
  </w:endnote>
  <w:endnote w:type="continuationSeparator" w:id="0">
    <w:p w14:paraId="24177900" w14:textId="77777777" w:rsidR="00F539C1" w:rsidRDefault="00F539C1" w:rsidP="0063556E">
      <w:r>
        <w:continuationSeparator/>
      </w:r>
    </w:p>
  </w:endnote>
  <w:endnote w:type="continuationNotice" w:id="1">
    <w:p w14:paraId="4807A8D4" w14:textId="77777777" w:rsidR="00F539C1" w:rsidRDefault="00F539C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Frutiger 55 Roman">
    <w:altName w:val="Cambria"/>
    <w:panose1 w:val="00000000000000000000"/>
    <w:charset w:val="00"/>
    <w:family w:val="roman"/>
    <w:notTrueType/>
    <w:pitch w:val="default"/>
    <w:sig w:usb0="00000003" w:usb1="00000000" w:usb2="00000000" w:usb3="00000000" w:csb0="00000001" w:csb1="00000000"/>
  </w:font>
  <w:font w:name="HGSMinchoE">
    <w:altName w:val="MS PMincho"/>
    <w:charset w:val="80"/>
    <w:family w:val="roma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1489525319"/>
      <w:docPartObj>
        <w:docPartGallery w:val="Page Numbers (Top of Page)"/>
        <w:docPartUnique/>
      </w:docPartObj>
    </w:sdtPr>
    <w:sdtEndPr>
      <w:rPr>
        <w:color w:val="808080" w:themeColor="background1" w:themeShade="80"/>
      </w:rPr>
    </w:sdtEndPr>
    <w:sdtContent>
      <w:p w14:paraId="4C69A6F8" w14:textId="77777777" w:rsidR="00453417" w:rsidRPr="000B5F9D" w:rsidRDefault="00453417" w:rsidP="00E26A6E">
        <w:pPr>
          <w:pStyle w:val="Footer"/>
          <w:jc w:val="center"/>
          <w:rPr>
            <w:rFonts w:ascii="Arial" w:eastAsia="Times New Roman" w:hAnsi="Arial" w:cs="Arial"/>
            <w:bCs/>
            <w:color w:val="808080" w:themeColor="background1" w:themeShade="80"/>
            <w:sz w:val="20"/>
            <w:szCs w:val="20"/>
          </w:rPr>
        </w:pPr>
        <w:r w:rsidRPr="000B5F9D">
          <w:rPr>
            <w:rFonts w:ascii="Arial" w:hAnsi="Arial" w:cs="Arial"/>
            <w:color w:val="808080" w:themeColor="background1" w:themeShade="80"/>
            <w:sz w:val="20"/>
            <w:szCs w:val="20"/>
          </w:rPr>
          <w:t xml:space="preserve">Page </w:t>
        </w:r>
        <w:r w:rsidRPr="000B5F9D">
          <w:rPr>
            <w:rFonts w:ascii="Arial" w:hAnsi="Arial" w:cs="Arial"/>
            <w:bCs/>
            <w:color w:val="808080" w:themeColor="background1" w:themeShade="80"/>
            <w:sz w:val="20"/>
            <w:szCs w:val="20"/>
          </w:rPr>
          <w:fldChar w:fldCharType="begin"/>
        </w:r>
        <w:r w:rsidRPr="000B5F9D">
          <w:rPr>
            <w:rFonts w:ascii="Arial" w:hAnsi="Arial" w:cs="Arial"/>
            <w:bCs/>
            <w:color w:val="808080" w:themeColor="background1" w:themeShade="80"/>
            <w:sz w:val="20"/>
            <w:szCs w:val="20"/>
          </w:rPr>
          <w:instrText xml:space="preserve"> PAGE </w:instrText>
        </w:r>
        <w:r w:rsidRPr="000B5F9D">
          <w:rPr>
            <w:rFonts w:ascii="Arial" w:hAnsi="Arial" w:cs="Arial"/>
            <w:bCs/>
            <w:color w:val="808080" w:themeColor="background1" w:themeShade="80"/>
            <w:sz w:val="20"/>
            <w:szCs w:val="20"/>
          </w:rPr>
          <w:fldChar w:fldCharType="separate"/>
        </w:r>
        <w:r>
          <w:rPr>
            <w:rFonts w:ascii="Arial" w:hAnsi="Arial" w:cs="Arial"/>
            <w:bCs/>
            <w:noProof/>
            <w:color w:val="808080" w:themeColor="background1" w:themeShade="80"/>
            <w:sz w:val="20"/>
            <w:szCs w:val="20"/>
          </w:rPr>
          <w:t>77</w:t>
        </w:r>
        <w:r w:rsidRPr="000B5F9D">
          <w:rPr>
            <w:rFonts w:ascii="Arial" w:hAnsi="Arial" w:cs="Arial"/>
            <w:bCs/>
            <w:color w:val="808080" w:themeColor="background1" w:themeShade="80"/>
            <w:sz w:val="20"/>
            <w:szCs w:val="20"/>
          </w:rPr>
          <w:fldChar w:fldCharType="end"/>
        </w:r>
        <w:r w:rsidRPr="000B5F9D">
          <w:rPr>
            <w:rFonts w:ascii="Arial" w:hAnsi="Arial" w:cs="Arial"/>
            <w:color w:val="808080" w:themeColor="background1" w:themeShade="80"/>
            <w:sz w:val="20"/>
            <w:szCs w:val="20"/>
          </w:rPr>
          <w:t xml:space="preserve"> of </w:t>
        </w:r>
        <w:r w:rsidRPr="000B5F9D">
          <w:rPr>
            <w:rFonts w:ascii="Arial" w:hAnsi="Arial" w:cs="Arial"/>
            <w:bCs/>
            <w:color w:val="808080" w:themeColor="background1" w:themeShade="80"/>
            <w:sz w:val="20"/>
            <w:szCs w:val="20"/>
          </w:rPr>
          <w:fldChar w:fldCharType="begin"/>
        </w:r>
        <w:r w:rsidRPr="000B5F9D">
          <w:rPr>
            <w:rFonts w:ascii="Arial" w:hAnsi="Arial" w:cs="Arial"/>
            <w:bCs/>
            <w:color w:val="808080" w:themeColor="background1" w:themeShade="80"/>
            <w:sz w:val="20"/>
            <w:szCs w:val="20"/>
          </w:rPr>
          <w:instrText xml:space="preserve"> NUMPAGES  </w:instrText>
        </w:r>
        <w:r w:rsidRPr="000B5F9D">
          <w:rPr>
            <w:rFonts w:ascii="Arial" w:hAnsi="Arial" w:cs="Arial"/>
            <w:bCs/>
            <w:color w:val="808080" w:themeColor="background1" w:themeShade="80"/>
            <w:sz w:val="20"/>
            <w:szCs w:val="20"/>
          </w:rPr>
          <w:fldChar w:fldCharType="separate"/>
        </w:r>
        <w:r>
          <w:rPr>
            <w:rFonts w:ascii="Arial" w:hAnsi="Arial" w:cs="Arial"/>
            <w:bCs/>
            <w:noProof/>
            <w:color w:val="808080" w:themeColor="background1" w:themeShade="80"/>
            <w:sz w:val="20"/>
            <w:szCs w:val="20"/>
          </w:rPr>
          <w:t>77</w:t>
        </w:r>
        <w:r w:rsidRPr="000B5F9D">
          <w:rPr>
            <w:rFonts w:ascii="Arial" w:hAnsi="Arial" w:cs="Arial"/>
            <w:bCs/>
            <w:color w:val="808080" w:themeColor="background1" w:themeShade="80"/>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7054D4" w14:textId="77777777" w:rsidR="00F539C1" w:rsidRDefault="00F539C1" w:rsidP="0063556E">
      <w:r>
        <w:separator/>
      </w:r>
    </w:p>
  </w:footnote>
  <w:footnote w:type="continuationSeparator" w:id="0">
    <w:p w14:paraId="02BBFE53" w14:textId="77777777" w:rsidR="00F539C1" w:rsidRDefault="00F539C1" w:rsidP="0063556E">
      <w:r>
        <w:continuationSeparator/>
      </w:r>
    </w:p>
  </w:footnote>
  <w:footnote w:type="continuationNotice" w:id="1">
    <w:p w14:paraId="226AC237" w14:textId="77777777" w:rsidR="00F539C1" w:rsidRDefault="00F539C1">
      <w:pPr>
        <w:spacing w:before="0" w:after="0"/>
      </w:pPr>
    </w:p>
  </w:footnote>
  <w:footnote w:id="2">
    <w:p w14:paraId="555D903E" w14:textId="77777777" w:rsidR="00453417" w:rsidRPr="000B5F9D" w:rsidRDefault="00453417">
      <w:pPr>
        <w:pStyle w:val="FootnoteText"/>
        <w:rPr>
          <w:rFonts w:ascii="Arial" w:hAnsi="Arial" w:cs="Arial"/>
        </w:rPr>
      </w:pPr>
      <w:r w:rsidRPr="004D3C3F">
        <w:rPr>
          <w:rStyle w:val="FootnoteReference"/>
          <w:rFonts w:ascii="Arial" w:hAnsi="Arial" w:cs="Arial"/>
          <w:sz w:val="18"/>
        </w:rPr>
        <w:footnoteRef/>
      </w:r>
      <w:r w:rsidRPr="004D3C3F">
        <w:rPr>
          <w:rFonts w:ascii="Arial" w:hAnsi="Arial" w:cs="Arial"/>
          <w:sz w:val="18"/>
        </w:rPr>
        <w:t xml:space="preserve"> Individual Care has the same meaning as Direct Care, as defined in the Caldicott 2 Review 2013.</w:t>
      </w:r>
    </w:p>
  </w:footnote>
  <w:footnote w:id="3">
    <w:p w14:paraId="01737F3B" w14:textId="77777777" w:rsidR="00453417" w:rsidRPr="004D3C3F" w:rsidRDefault="00453417" w:rsidP="00186592">
      <w:pPr>
        <w:pStyle w:val="FootnoteText"/>
        <w:rPr>
          <w:rFonts w:ascii="Arial" w:hAnsi="Arial" w:cs="Arial"/>
        </w:rPr>
      </w:pPr>
      <w:r w:rsidRPr="004D3C3F">
        <w:rPr>
          <w:rStyle w:val="FootnoteReference"/>
          <w:rFonts w:ascii="Arial" w:hAnsi="Arial" w:cs="Arial"/>
          <w:sz w:val="18"/>
        </w:rPr>
        <w:footnoteRef/>
      </w:r>
      <w:r w:rsidRPr="004D3C3F">
        <w:rPr>
          <w:rFonts w:ascii="Arial" w:hAnsi="Arial" w:cs="Arial"/>
          <w:sz w:val="18"/>
        </w:rPr>
        <w:t xml:space="preserve"> A Summary document is available here: </w:t>
      </w:r>
      <w:hyperlink r:id="rId1" w:history="1">
        <w:r w:rsidRPr="004D3C3F">
          <w:rPr>
            <w:rStyle w:val="Hyperlink"/>
            <w:rFonts w:ascii="Arial" w:hAnsi="Arial" w:cs="Arial"/>
            <w:sz w:val="18"/>
          </w:rPr>
          <w:t>https://www.england.nhs.uk/wp-content/uploads/2018/05/local-health-and-care-record-exemplars-summary.pdf</w:t>
        </w:r>
      </w:hyperlink>
      <w:r w:rsidRPr="004D3C3F">
        <w:rPr>
          <w:rFonts w:ascii="Arial" w:hAnsi="Arial" w:cs="Arial"/>
          <w:sz w:val="18"/>
        </w:rPr>
        <w:t xml:space="preserve"> </w:t>
      </w:r>
    </w:p>
  </w:footnote>
  <w:footnote w:id="4">
    <w:p w14:paraId="46E4B2B4" w14:textId="77777777" w:rsidR="00453417" w:rsidRPr="004D3C3F" w:rsidRDefault="00453417" w:rsidP="00A11620">
      <w:pPr>
        <w:pStyle w:val="CommentText"/>
        <w:rPr>
          <w:rFonts w:ascii="Arial" w:hAnsi="Arial" w:cs="Arial"/>
          <w:sz w:val="18"/>
        </w:rPr>
      </w:pPr>
      <w:r w:rsidRPr="004D3C3F">
        <w:rPr>
          <w:rStyle w:val="FootnoteReference"/>
          <w:rFonts w:ascii="Arial" w:hAnsi="Arial" w:cs="Arial"/>
          <w:sz w:val="18"/>
        </w:rPr>
        <w:footnoteRef/>
      </w:r>
      <w:r w:rsidRPr="004D3C3F">
        <w:rPr>
          <w:rFonts w:ascii="Arial" w:hAnsi="Arial" w:cs="Arial"/>
          <w:sz w:val="18"/>
        </w:rPr>
        <w:t xml:space="preserve"> </w:t>
      </w:r>
      <w:hyperlink r:id="rId2" w:history="1">
        <w:r w:rsidRPr="004D3C3F">
          <w:rPr>
            <w:rStyle w:val="Hyperlink"/>
            <w:rFonts w:ascii="Arial" w:hAnsi="Arial" w:cs="Arial"/>
            <w:sz w:val="18"/>
          </w:rPr>
          <w:t>https://assets.publishing.service.gov.uk/government/uploads/system/uploads/attachment_data/file/535024/data-security-review.PDF</w:t>
        </w:r>
      </w:hyperlink>
    </w:p>
    <w:p w14:paraId="4EA88D0A" w14:textId="77777777" w:rsidR="00453417" w:rsidRDefault="00453417" w:rsidP="00A11620">
      <w:pPr>
        <w:pStyle w:val="CommentText"/>
      </w:pPr>
    </w:p>
  </w:footnote>
  <w:footnote w:id="5">
    <w:p w14:paraId="3337A248" w14:textId="77777777" w:rsidR="00453417" w:rsidRPr="00241D06" w:rsidRDefault="00453417" w:rsidP="00450699">
      <w:pPr>
        <w:pStyle w:val="FootnoteText"/>
        <w:rPr>
          <w:rFonts w:ascii="Arial" w:hAnsi="Arial" w:cs="Arial"/>
          <w:sz w:val="18"/>
        </w:rPr>
      </w:pPr>
      <w:r w:rsidRPr="00241D06">
        <w:rPr>
          <w:rStyle w:val="FootnoteReference"/>
          <w:rFonts w:ascii="Arial" w:hAnsi="Arial" w:cs="Arial"/>
          <w:sz w:val="18"/>
        </w:rPr>
        <w:footnoteRef/>
      </w:r>
      <w:hyperlink r:id="rId3" w:history="1">
        <w:r w:rsidRPr="00241D06">
          <w:rPr>
            <w:rStyle w:val="Hyperlink"/>
            <w:rFonts w:ascii="Arial" w:hAnsi="Arial" w:cs="Arial"/>
            <w:sz w:val="18"/>
          </w:rPr>
          <w:t>https://digital.nhs.uk/data-and-information/looking-after-information/data-security-and-information-governance/information-governance-alliance-iga/general-data-protection-regulation-gdpr-guidance</w:t>
        </w:r>
      </w:hyperlink>
      <w:r w:rsidRPr="00241D06">
        <w:rPr>
          <w:rFonts w:ascii="Arial" w:hAnsi="Arial" w:cs="Arial"/>
          <w:sz w:val="18"/>
        </w:rPr>
        <w:br/>
        <w:t>This GDPR guidance includes the GDPR and Consent.</w:t>
      </w:r>
    </w:p>
  </w:footnote>
  <w:footnote w:id="6">
    <w:p w14:paraId="78598257" w14:textId="77777777" w:rsidR="00453417" w:rsidRDefault="00453417">
      <w:pPr>
        <w:pStyle w:val="FootnoteText"/>
      </w:pPr>
      <w:r w:rsidRPr="00241D06">
        <w:rPr>
          <w:rStyle w:val="FootnoteReference"/>
          <w:rFonts w:ascii="Arial" w:hAnsi="Arial" w:cs="Arial"/>
          <w:sz w:val="18"/>
        </w:rPr>
        <w:footnoteRef/>
      </w:r>
      <w:r w:rsidRPr="00241D06">
        <w:rPr>
          <w:rFonts w:ascii="Arial" w:hAnsi="Arial" w:cs="Arial"/>
          <w:sz w:val="18"/>
        </w:rPr>
        <w:t xml:space="preserve"> Primary care providers operating under contract with NHS England do not have direct legal authority. The authority rests with NHS England. However, where services are provided under such contracts, the providing bodies are subject to statutory regulation and can therefore rely on Art. 6 (1)(c). Any service provided beyond the contract will be covered by Art. 6(1)(e).</w:t>
      </w:r>
    </w:p>
  </w:footnote>
  <w:footnote w:id="7">
    <w:p w14:paraId="1CEA29CF" w14:textId="77777777" w:rsidR="00453417" w:rsidRPr="00241D06" w:rsidRDefault="00453417">
      <w:pPr>
        <w:pStyle w:val="FootnoteText"/>
        <w:rPr>
          <w:rFonts w:ascii="Arial" w:hAnsi="Arial" w:cs="Arial"/>
          <w:sz w:val="18"/>
        </w:rPr>
      </w:pPr>
      <w:r w:rsidRPr="00241D06">
        <w:rPr>
          <w:rStyle w:val="FootnoteReference"/>
          <w:rFonts w:ascii="Arial" w:hAnsi="Arial" w:cs="Arial"/>
          <w:sz w:val="18"/>
        </w:rPr>
        <w:footnoteRef/>
      </w:r>
      <w:r w:rsidRPr="00241D06">
        <w:rPr>
          <w:rFonts w:ascii="Arial" w:hAnsi="Arial" w:cs="Arial"/>
          <w:sz w:val="18"/>
        </w:rPr>
        <w:t xml:space="preserve"> Recital 38 GDPR states additional protections need to be given to children in relation to marketing, creating a personality or user profile, or when offering services directly to a child.</w:t>
      </w:r>
    </w:p>
    <w:p w14:paraId="5E52BABF" w14:textId="77777777" w:rsidR="00453417" w:rsidRDefault="00453417">
      <w:pPr>
        <w:pStyle w:val="FootnoteText"/>
      </w:pPr>
      <w:r w:rsidRPr="00241D06">
        <w:rPr>
          <w:rFonts w:ascii="Arial" w:hAnsi="Arial" w:cs="Arial"/>
          <w:sz w:val="18"/>
        </w:rPr>
        <w:t xml:space="preserve">See also </w:t>
      </w:r>
      <w:hyperlink r:id="rId4" w:history="1">
        <w:r w:rsidRPr="00241D06">
          <w:rPr>
            <w:rStyle w:val="Hyperlink"/>
            <w:rFonts w:ascii="Arial" w:hAnsi="Arial" w:cs="Arial"/>
            <w:sz w:val="18"/>
          </w:rPr>
          <w:t>https://ico.org.uk/for-organisations/guide-to-data-protection/guide-to-the-general-data-protection-regulation-gdpr/children-and-the-gdpr/</w:t>
        </w:r>
      </w:hyperlink>
      <w:r w:rsidRPr="00241D06">
        <w:rPr>
          <w:sz w:val="18"/>
        </w:rPr>
        <w:t xml:space="preserve"> </w:t>
      </w:r>
    </w:p>
  </w:footnote>
  <w:footnote w:id="8">
    <w:p w14:paraId="74404A56" w14:textId="66B21B23" w:rsidR="00453417" w:rsidRDefault="00453417">
      <w:pPr>
        <w:pStyle w:val="FootnoteText"/>
      </w:pPr>
      <w:r>
        <w:rPr>
          <w:rStyle w:val="FootnoteReference"/>
        </w:rPr>
        <w:footnoteRef/>
      </w:r>
      <w:r>
        <w:t xml:space="preserve">  For more guidance on Data Controllers and Processors, visit </w:t>
      </w:r>
      <w:hyperlink r:id="rId5" w:history="1">
        <w:r w:rsidRPr="007C6D6D">
          <w:rPr>
            <w:rStyle w:val="Hyperlink"/>
          </w:rPr>
          <w:t>https://ico.org.uk/for-organisations/guide-to-data-protection/guide-to-the-general-data-protection-regulation-gdpr/key-definitions/controllers-and-processors/</w:t>
        </w:r>
      </w:hyperlink>
      <w:r>
        <w:t xml:space="preserve"> </w:t>
      </w:r>
    </w:p>
  </w:footnote>
  <w:footnote w:id="9">
    <w:p w14:paraId="26D31558" w14:textId="77777777" w:rsidR="00453417" w:rsidRPr="004D3C3F" w:rsidRDefault="00453417" w:rsidP="003836BE">
      <w:pPr>
        <w:pStyle w:val="FootnoteText"/>
        <w:rPr>
          <w:rFonts w:ascii="Arial" w:hAnsi="Arial" w:cs="Arial"/>
        </w:rPr>
      </w:pPr>
      <w:r w:rsidRPr="004D3C3F">
        <w:rPr>
          <w:rStyle w:val="FootnoteReference"/>
          <w:rFonts w:ascii="Arial" w:hAnsi="Arial" w:cs="Arial"/>
          <w:sz w:val="18"/>
        </w:rPr>
        <w:footnoteRef/>
      </w:r>
      <w:r w:rsidRPr="004D3C3F">
        <w:rPr>
          <w:rFonts w:ascii="Arial" w:hAnsi="Arial" w:cs="Arial"/>
          <w:sz w:val="18"/>
        </w:rPr>
        <w:t xml:space="preserve"> https://www.dsptoolkit.nhs.uk/</w:t>
      </w:r>
    </w:p>
  </w:footnote>
  <w:footnote w:id="10">
    <w:p w14:paraId="0AE69049" w14:textId="77777777" w:rsidR="00453417" w:rsidRPr="00837961" w:rsidRDefault="00453417" w:rsidP="00477B52">
      <w:pPr>
        <w:pStyle w:val="FootnoteText"/>
        <w:rPr>
          <w:color w:val="FF0000"/>
        </w:rPr>
      </w:pPr>
      <w:r w:rsidRPr="00477B52">
        <w:rPr>
          <w:rStyle w:val="FootnoteReference"/>
          <w:color w:val="000000" w:themeColor="text1"/>
        </w:rPr>
        <w:footnoteRef/>
      </w:r>
      <w:r w:rsidRPr="00477B52">
        <w:rPr>
          <w:color w:val="000000" w:themeColor="text1"/>
        </w:rPr>
        <w:t xml:space="preserve"> GPs also sign a contract allowing the CCG to procure a system on their behalf, and the CCG signs a contract with the supplier of choice, to enable them to call off products on behalf of its member practices.</w:t>
      </w:r>
    </w:p>
  </w:footnote>
  <w:footnote w:id="11">
    <w:p w14:paraId="4A3A06A7" w14:textId="77777777" w:rsidR="00453417" w:rsidRPr="00E50720" w:rsidRDefault="00453417" w:rsidP="004A18F0">
      <w:pPr>
        <w:pStyle w:val="FootnoteText"/>
        <w:rPr>
          <w:rFonts w:ascii="Arial" w:hAnsi="Arial" w:cs="Arial"/>
        </w:rPr>
      </w:pPr>
      <w:r w:rsidRPr="00E50720">
        <w:rPr>
          <w:rStyle w:val="FootnoteReference"/>
          <w:rFonts w:ascii="Arial" w:hAnsi="Arial" w:cs="Arial"/>
          <w:sz w:val="18"/>
        </w:rPr>
        <w:footnoteRef/>
      </w:r>
      <w:r w:rsidRPr="00E50720">
        <w:rPr>
          <w:rFonts w:ascii="Arial" w:hAnsi="Arial" w:cs="Arial"/>
          <w:sz w:val="18"/>
        </w:rPr>
        <w:t xml:space="preserve"> https://www.dsptoolkit.nhs.uk/Help/Attachment/24</w:t>
      </w:r>
    </w:p>
  </w:footnote>
  <w:footnote w:id="12">
    <w:p w14:paraId="2F1E0F1C" w14:textId="77777777" w:rsidR="00453417" w:rsidRPr="000B5F9D" w:rsidRDefault="00453417" w:rsidP="00593D5C">
      <w:pPr>
        <w:pStyle w:val="FootnoteText"/>
        <w:rPr>
          <w:rFonts w:ascii="Arial" w:hAnsi="Arial" w:cs="Arial"/>
        </w:rPr>
      </w:pPr>
      <w:r w:rsidRPr="000B5F9D">
        <w:rPr>
          <w:rStyle w:val="FootnoteReference"/>
          <w:rFonts w:ascii="Arial" w:hAnsi="Arial" w:cs="Arial"/>
        </w:rPr>
        <w:footnoteRef/>
      </w:r>
      <w:r w:rsidRPr="000B5F9D">
        <w:rPr>
          <w:rFonts w:ascii="Arial" w:hAnsi="Arial" w:cs="Arial"/>
        </w:rPr>
        <w:t xml:space="preserve"> </w:t>
      </w:r>
      <w:hyperlink r:id="rId6" w:history="1">
        <w:r w:rsidRPr="000B5F9D">
          <w:rPr>
            <w:rStyle w:val="Hyperlink"/>
            <w:rFonts w:ascii="Arial" w:hAnsi="Arial" w:cs="Arial"/>
          </w:rPr>
          <w:t>https://ico.org.uk/media/for-organisations/documents/1068/data_sharing_code_of_practice.pdf</w:t>
        </w:r>
      </w:hyperlink>
      <w:r w:rsidRPr="000B5F9D">
        <w:rPr>
          <w:rFonts w:ascii="Arial" w:hAnsi="Arial" w:cs="Arial"/>
        </w:rPr>
        <w:t xml:space="preserve"> </w:t>
      </w:r>
    </w:p>
  </w:footnote>
  <w:footnote w:id="13">
    <w:p w14:paraId="2F3661DD" w14:textId="77777777" w:rsidR="00453417" w:rsidRDefault="00453417">
      <w:pPr>
        <w:pStyle w:val="FootnoteText"/>
      </w:pPr>
      <w:r>
        <w:rPr>
          <w:rStyle w:val="FootnoteReference"/>
        </w:rPr>
        <w:footnoteRef/>
      </w:r>
      <w:r>
        <w:t xml:space="preserve"> See ICO’s Anonymisation Code of Practice. LCHREs should follow this as a basis for anonymising data for secondary use. The Code remains extant until replaced by an updated version (the Code is currently being reviewed by the ICO). When new guidance is published, guidance for LHCRs will be reviewed and updated.</w:t>
      </w:r>
    </w:p>
  </w:footnote>
  <w:footnote w:id="14">
    <w:p w14:paraId="54553A12" w14:textId="77777777" w:rsidR="00453417" w:rsidRDefault="00453417" w:rsidP="00C6330F">
      <w:pPr>
        <w:pStyle w:val="FootnoteText"/>
      </w:pPr>
      <w:r>
        <w:rPr>
          <w:rStyle w:val="FootnoteReference"/>
        </w:rPr>
        <w:footnoteRef/>
      </w:r>
      <w:r>
        <w:t xml:space="preserve"> </w:t>
      </w:r>
      <w:hyperlink r:id="rId7" w:history="1">
        <w:r w:rsidRPr="00847C34">
          <w:rPr>
            <w:rStyle w:val="Hyperlink"/>
          </w:rPr>
          <w:t>https://www.hra.nhs.uk/about-us/committees-and-services/confidentiality-advisory-group/</w:t>
        </w:r>
      </w:hyperlink>
      <w:r>
        <w:t xml:space="preserve"> </w:t>
      </w:r>
    </w:p>
  </w:footnote>
  <w:footnote w:id="15">
    <w:p w14:paraId="64A195C2" w14:textId="77777777" w:rsidR="00453417" w:rsidRPr="003933D2" w:rsidRDefault="00453417" w:rsidP="00B86B94">
      <w:pPr>
        <w:pStyle w:val="FootnoteText"/>
        <w:rPr>
          <w:rFonts w:ascii="Arial" w:hAnsi="Arial" w:cs="Arial"/>
        </w:rPr>
      </w:pPr>
      <w:r w:rsidRPr="003933D2">
        <w:rPr>
          <w:rStyle w:val="FootnoteReference"/>
          <w:rFonts w:ascii="Arial" w:hAnsi="Arial" w:cs="Arial"/>
          <w:sz w:val="18"/>
        </w:rPr>
        <w:footnoteRef/>
      </w:r>
      <w:hyperlink r:id="rId8" w:history="1">
        <w:r w:rsidRPr="003933D2">
          <w:rPr>
            <w:rStyle w:val="Hyperlink"/>
            <w:rFonts w:ascii="Arial" w:hAnsi="Arial" w:cs="Arial"/>
            <w:sz w:val="18"/>
          </w:rPr>
          <w:t>https://digital.nhs.uk/data-and-information/looking-after-information/data-security-and-information-governance/information-governance-alliance-iga/general-data-protection-regulation-gdpr-guidance</w:t>
        </w:r>
      </w:hyperlink>
      <w:r w:rsidRPr="003933D2">
        <w:rPr>
          <w:rFonts w:ascii="Arial" w:hAnsi="Arial" w:cs="Arial"/>
          <w:sz w:val="18"/>
        </w:rPr>
        <w:br/>
        <w:t>This GDPR guidance includes the GDPR and Consent.</w:t>
      </w:r>
    </w:p>
  </w:footnote>
  <w:footnote w:id="16">
    <w:p w14:paraId="25FB2FC9" w14:textId="77777777" w:rsidR="00453417" w:rsidRPr="003933D2" w:rsidRDefault="00453417" w:rsidP="00324A2C">
      <w:pPr>
        <w:pStyle w:val="FootnoteText"/>
        <w:rPr>
          <w:rFonts w:ascii="Arial" w:hAnsi="Arial" w:cs="Arial"/>
        </w:rPr>
      </w:pPr>
      <w:r w:rsidRPr="003933D2">
        <w:rPr>
          <w:rStyle w:val="FootnoteReference"/>
          <w:rFonts w:ascii="Arial" w:hAnsi="Arial" w:cs="Arial"/>
          <w:sz w:val="18"/>
        </w:rPr>
        <w:footnoteRef/>
      </w:r>
      <w:r w:rsidRPr="003933D2">
        <w:rPr>
          <w:rFonts w:ascii="Arial" w:hAnsi="Arial" w:cs="Arial"/>
          <w:sz w:val="18"/>
        </w:rPr>
        <w:t xml:space="preserve"> See:  </w:t>
      </w:r>
      <w:hyperlink r:id="rId9" w:history="1">
        <w:r w:rsidRPr="003933D2">
          <w:rPr>
            <w:rStyle w:val="Hyperlink"/>
            <w:rFonts w:ascii="Arial" w:hAnsi="Arial" w:cs="Arial"/>
            <w:sz w:val="18"/>
          </w:rPr>
          <w:t>https://digital.nhs.uk/data-and-information/looking-after-information/data-security-and-information-governance/information-governance-alliance-iga/general-data-protection-regulation-gdpr-guidance</w:t>
        </w:r>
      </w:hyperlink>
      <w:r w:rsidRPr="003933D2">
        <w:rPr>
          <w:rFonts w:ascii="Arial" w:hAnsi="Arial" w:cs="Arial"/>
          <w:sz w:val="18"/>
        </w:rPr>
        <w:br/>
        <w:t>This GDPR guidance includes the GDPR and Consent.</w:t>
      </w:r>
    </w:p>
  </w:footnote>
  <w:footnote w:id="17">
    <w:p w14:paraId="3064F29C" w14:textId="77777777" w:rsidR="00453417" w:rsidRPr="000B5F9D" w:rsidRDefault="00453417" w:rsidP="008C4526">
      <w:pPr>
        <w:shd w:val="clear" w:color="auto" w:fill="FFFFFF"/>
        <w:spacing w:before="0" w:after="0" w:line="276" w:lineRule="auto"/>
        <w:rPr>
          <w:rFonts w:cs="Arial"/>
          <w:sz w:val="20"/>
          <w:lang w:eastAsia="en-GB"/>
        </w:rPr>
      </w:pPr>
      <w:r w:rsidRPr="000B5F9D">
        <w:rPr>
          <w:rStyle w:val="FootnoteReference"/>
          <w:rFonts w:cs="Arial"/>
          <w:sz w:val="20"/>
        </w:rPr>
        <w:footnoteRef/>
      </w:r>
      <w:r w:rsidRPr="000B5F9D">
        <w:rPr>
          <w:rFonts w:cs="Arial"/>
          <w:sz w:val="20"/>
        </w:rPr>
        <w:t xml:space="preserve"> </w:t>
      </w:r>
      <w:hyperlink r:id="rId10" w:history="1">
        <w:r w:rsidRPr="000B5F9D">
          <w:rPr>
            <w:rStyle w:val="Hyperlink"/>
            <w:rFonts w:cs="Arial"/>
            <w:sz w:val="20"/>
            <w:lang w:eastAsia="en-GB"/>
          </w:rPr>
          <w:t>https://www.england.nhs.uk/nhs-standard-contract/2017-19-update-may/</w:t>
        </w:r>
      </w:hyperlink>
      <w:r w:rsidRPr="000B5F9D">
        <w:rPr>
          <w:rFonts w:cs="Arial"/>
          <w:sz w:val="20"/>
          <w:lang w:eastAsia="en-GB"/>
        </w:rPr>
        <w:t>)</w:t>
      </w:r>
    </w:p>
  </w:footnote>
  <w:footnote w:id="18">
    <w:p w14:paraId="2BBC142E" w14:textId="77777777" w:rsidR="00453417" w:rsidRDefault="00453417" w:rsidP="00F573FF">
      <w:pPr>
        <w:pStyle w:val="FootnoteText"/>
      </w:pPr>
      <w:r>
        <w:rPr>
          <w:rStyle w:val="FootnoteReference"/>
        </w:rPr>
        <w:footnoteRef/>
      </w:r>
      <w:r w:rsidRPr="00DD35B0">
        <w:rPr>
          <w:rFonts w:ascii="Arial" w:hAnsi="Arial" w:cs="Arial"/>
          <w:sz w:val="18"/>
          <w:szCs w:val="22"/>
        </w:rPr>
        <w:t>The Security of Network and Information Systems Directive (NIS Directive) 2018 requires the reporting of relevant incidents to the Department of Health and Social Care (DHSC) as a competent authority</w:t>
      </w:r>
    </w:p>
  </w:footnote>
  <w:footnote w:id="19">
    <w:p w14:paraId="695EE374" w14:textId="77777777" w:rsidR="00453417" w:rsidRPr="00242F08" w:rsidRDefault="00453417" w:rsidP="00F573FF">
      <w:pPr>
        <w:rPr>
          <w:rFonts w:cs="Arial"/>
          <w:sz w:val="18"/>
          <w:szCs w:val="18"/>
        </w:rPr>
      </w:pPr>
      <w:r>
        <w:rPr>
          <w:rStyle w:val="FootnoteReference"/>
        </w:rPr>
        <w:footnoteRef/>
      </w:r>
      <w:r>
        <w:t xml:space="preserve"> </w:t>
      </w:r>
      <w:hyperlink r:id="rId11" w:history="1">
        <w:r w:rsidRPr="00242F08">
          <w:rPr>
            <w:rStyle w:val="Hyperlink"/>
            <w:rFonts w:cs="Arial"/>
            <w:color w:val="auto"/>
            <w:sz w:val="18"/>
            <w:szCs w:val="18"/>
          </w:rPr>
          <w:t>https://www.dsptoolkit.nhs.uk/(X(1)S(5aqfcbbwqnobxiuykxwjez3s))/Help/Attachment/148</w:t>
        </w:r>
      </w:hyperlink>
    </w:p>
    <w:p w14:paraId="7848C290" w14:textId="77777777" w:rsidR="00453417" w:rsidRDefault="00453417" w:rsidP="00F573FF">
      <w:pPr>
        <w:pStyle w:val="FootnoteText"/>
      </w:pPr>
    </w:p>
  </w:footnote>
  <w:footnote w:id="20">
    <w:p w14:paraId="1A5CFDF5" w14:textId="77777777" w:rsidR="00453417" w:rsidRDefault="00453417" w:rsidP="00D23949">
      <w:pPr>
        <w:pStyle w:val="FootnoteText"/>
      </w:pPr>
      <w:r>
        <w:rPr>
          <w:rStyle w:val="FootnoteReference"/>
        </w:rPr>
        <w:footnoteRef/>
      </w:r>
      <w:r>
        <w:t xml:space="preserve"> </w:t>
      </w:r>
      <w:hyperlink r:id="rId12" w:history="1">
        <w:r>
          <w:rPr>
            <w:rStyle w:val="Hyperlink"/>
            <w:sz w:val="16"/>
          </w:rPr>
          <w:t>Information governance review 2013 "To Share or Not to Share" pg 129</w:t>
        </w:r>
      </w:hyperlink>
      <w:r w:rsidRPr="00DF155F">
        <w:rPr>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6DECB" w14:textId="29E60C47" w:rsidR="00453417" w:rsidRDefault="00EF15FC">
    <w:pPr>
      <w:pStyle w:val="Header"/>
    </w:pPr>
    <w:r>
      <w:rPr>
        <w:noProof/>
      </w:rPr>
      <w:pict w14:anchorId="37DCBA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838032" o:spid="_x0000_s2050" type="#_x0000_t136" style="position:absolute;margin-left:0;margin-top:0;width:662.7pt;height:26.5pt;rotation:315;z-index:-251655168;mso-position-horizontal:center;mso-position-horizontal-relative:margin;mso-position-vertical:center;mso-position-vertical-relative:margin" o:allowincell="f" fillcolor="silver" stroked="f">
          <v:fill opacity=".5"/>
          <v:textpath style="font-family:&quot;Arial&quot;;font-size:1pt" string="Working Document - Version for Assurance on J1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4D3F4" w14:textId="6560B464" w:rsidR="00453417" w:rsidRPr="008A0050" w:rsidRDefault="00EF15FC" w:rsidP="00DC03A0">
    <w:pPr>
      <w:pStyle w:val="Header"/>
      <w:jc w:val="center"/>
      <w:rPr>
        <w:color w:val="808080" w:themeColor="background1" w:themeShade="80"/>
      </w:rPr>
    </w:pPr>
    <w:r>
      <w:rPr>
        <w:noProof/>
        <w:color w:val="808080" w:themeColor="background1" w:themeShade="80"/>
      </w:rPr>
      <w:pict w14:anchorId="38123E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838033" o:spid="_x0000_s2051" type="#_x0000_t136" style="position:absolute;left:0;text-align:left;margin-left:0;margin-top:0;width:662.7pt;height:26.5pt;rotation:315;z-index:-251653120;mso-position-horizontal:center;mso-position-horizontal-relative:margin;mso-position-vertical:center;mso-position-vertical-relative:margin" o:allowincell="f" fillcolor="silver" stroked="f">
          <v:fill opacity=".5"/>
          <v:textpath style="font-family:&quot;Arial&quot;;font-size:1pt" string="Working Document - Version for Assurance on J1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AA9EF" w14:textId="192EE87E" w:rsidR="00453417" w:rsidRPr="00B6350B" w:rsidRDefault="00EF15FC" w:rsidP="005A75FF">
    <w:pPr>
      <w:pStyle w:val="Header"/>
      <w:jc w:val="center"/>
      <w:rPr>
        <w:color w:val="808080" w:themeColor="background1" w:themeShade="80"/>
      </w:rPr>
    </w:pPr>
    <w:r>
      <w:rPr>
        <w:noProof/>
      </w:rPr>
      <w:pict w14:anchorId="791441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0838031" o:spid="_x0000_s2049" type="#_x0000_t136" style="position:absolute;left:0;text-align:left;margin-left:0;margin-top:0;width:662.7pt;height:26.5pt;rotation:315;z-index:-251657216;mso-position-horizontal:center;mso-position-horizontal-relative:margin;mso-position-vertical:center;mso-position-vertical-relative:margin" o:allowincell="f" fillcolor="silver" stroked="f">
          <v:fill opacity=".5"/>
          <v:textpath style="font-family:&quot;Arial&quot;;font-size:1pt" string="Working Document - Version for Assurance on J1 only"/>
          <w10:wrap anchorx="margin" anchory="margin"/>
        </v:shape>
      </w:pict>
    </w:r>
  </w:p>
  <w:sdt>
    <w:sdtPr>
      <w:rPr>
        <w:color w:val="808080" w:themeColor="background1" w:themeShade="80"/>
      </w:rPr>
      <w:alias w:val="Protective Marking"/>
      <w:tag w:val="Protective Marking"/>
      <w:id w:val="1705436527"/>
      <w:dropDownList>
        <w:listItem w:displayText="OFFICIAL" w:value="OFFICIAL"/>
        <w:listItem w:displayText="OFFICIAL-SENSITIVE: COMMERCIAL" w:value="OFFICIAL-SENSITIVE: COMMERCIAL"/>
        <w:listItem w:displayText="OFFICIAL-SENSITIVE: PERSONAL" w:value="OFFICIAL-SENSITIVE: PERSONAL"/>
      </w:dropDownList>
    </w:sdtPr>
    <w:sdtEndPr/>
    <w:sdtContent>
      <w:p w14:paraId="541EBBA6" w14:textId="77777777" w:rsidR="00453417" w:rsidRPr="00B6350B" w:rsidRDefault="00453417" w:rsidP="005A75FF">
        <w:pPr>
          <w:pStyle w:val="Header"/>
          <w:jc w:val="center"/>
          <w:rPr>
            <w:color w:val="808080" w:themeColor="background1" w:themeShade="80"/>
          </w:rPr>
        </w:pPr>
        <w:r w:rsidRPr="00B6350B">
          <w:rPr>
            <w:color w:val="808080" w:themeColor="background1" w:themeShade="80"/>
          </w:rPr>
          <w:t>OFFICIAL</w:t>
        </w:r>
      </w:p>
    </w:sdtContent>
  </w:sdt>
  <w:p w14:paraId="16E61DD4" w14:textId="77777777" w:rsidR="00453417" w:rsidRDefault="004534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9A23F" w14:textId="77777777" w:rsidR="00541777" w:rsidRPr="008A0050" w:rsidRDefault="00EF15FC" w:rsidP="00DC03A0">
    <w:pPr>
      <w:pStyle w:val="Header"/>
      <w:jc w:val="center"/>
      <w:rPr>
        <w:color w:val="808080" w:themeColor="background1" w:themeShade="80"/>
      </w:rPr>
    </w:pPr>
    <w:r>
      <w:rPr>
        <w:noProof/>
        <w:color w:val="808080" w:themeColor="background1" w:themeShade="80"/>
      </w:rPr>
      <w:pict w14:anchorId="72ECE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662.7pt;height:26.5pt;rotation:315;z-index:-251651072;mso-position-horizontal:center;mso-position-horizontal-relative:margin;mso-position-vertical:center;mso-position-vertical-relative:margin" o:allowincell="f" fillcolor="silver" stroked="f">
          <v:fill opacity=".5"/>
          <v:textpath style="font-family:&quot;Arial&quot;;font-size:1pt" string="Working Document - Version for Assurance on J1 only"/>
          <w10:wrap anchorx="margin" anchory="margin"/>
        </v:shape>
      </w:pict>
    </w:r>
    <w:r w:rsidR="00541777" w:rsidRPr="008A0050">
      <w:rPr>
        <w:color w:val="808080" w:themeColor="background1" w:themeShade="80"/>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7E426E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D908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0361D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9561E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B1E18F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E065D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EA50C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14F32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8EA5B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C18B86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960E51"/>
    <w:multiLevelType w:val="multilevel"/>
    <w:tmpl w:val="EC8418AA"/>
    <w:lvl w:ilvl="0">
      <w:numFmt w:val="bullet"/>
      <w:lvlText w:val=""/>
      <w:lvlJc w:val="left"/>
      <w:pPr>
        <w:ind w:left="771" w:hanging="360"/>
      </w:pPr>
      <w:rPr>
        <w:rFonts w:ascii="Symbol" w:hAnsi="Symbol"/>
        <w:color w:val="auto"/>
      </w:rPr>
    </w:lvl>
    <w:lvl w:ilvl="1">
      <w:numFmt w:val="bullet"/>
      <w:lvlText w:val="o"/>
      <w:lvlJc w:val="left"/>
      <w:pPr>
        <w:ind w:left="1491" w:hanging="360"/>
      </w:pPr>
      <w:rPr>
        <w:rFonts w:ascii="Courier New" w:hAnsi="Courier New" w:cs="Courier New"/>
      </w:rPr>
    </w:lvl>
    <w:lvl w:ilvl="2">
      <w:numFmt w:val="bullet"/>
      <w:lvlText w:val=""/>
      <w:lvlJc w:val="left"/>
      <w:pPr>
        <w:ind w:left="2211" w:hanging="360"/>
      </w:pPr>
      <w:rPr>
        <w:rFonts w:ascii="Wingdings" w:hAnsi="Wingdings"/>
      </w:rPr>
    </w:lvl>
    <w:lvl w:ilvl="3">
      <w:numFmt w:val="bullet"/>
      <w:lvlText w:val=""/>
      <w:lvlJc w:val="left"/>
      <w:pPr>
        <w:ind w:left="2931" w:hanging="360"/>
      </w:pPr>
      <w:rPr>
        <w:rFonts w:ascii="Symbol" w:hAnsi="Symbol"/>
      </w:rPr>
    </w:lvl>
    <w:lvl w:ilvl="4">
      <w:numFmt w:val="bullet"/>
      <w:lvlText w:val="o"/>
      <w:lvlJc w:val="left"/>
      <w:pPr>
        <w:ind w:left="3651" w:hanging="360"/>
      </w:pPr>
      <w:rPr>
        <w:rFonts w:ascii="Courier New" w:hAnsi="Courier New" w:cs="Courier New"/>
      </w:rPr>
    </w:lvl>
    <w:lvl w:ilvl="5">
      <w:numFmt w:val="bullet"/>
      <w:lvlText w:val=""/>
      <w:lvlJc w:val="left"/>
      <w:pPr>
        <w:ind w:left="4371" w:hanging="360"/>
      </w:pPr>
      <w:rPr>
        <w:rFonts w:ascii="Wingdings" w:hAnsi="Wingdings"/>
      </w:rPr>
    </w:lvl>
    <w:lvl w:ilvl="6">
      <w:numFmt w:val="bullet"/>
      <w:lvlText w:val=""/>
      <w:lvlJc w:val="left"/>
      <w:pPr>
        <w:ind w:left="5091" w:hanging="360"/>
      </w:pPr>
      <w:rPr>
        <w:rFonts w:ascii="Symbol" w:hAnsi="Symbol"/>
      </w:rPr>
    </w:lvl>
    <w:lvl w:ilvl="7">
      <w:numFmt w:val="bullet"/>
      <w:lvlText w:val="o"/>
      <w:lvlJc w:val="left"/>
      <w:pPr>
        <w:ind w:left="5811" w:hanging="360"/>
      </w:pPr>
      <w:rPr>
        <w:rFonts w:ascii="Courier New" w:hAnsi="Courier New" w:cs="Courier New"/>
      </w:rPr>
    </w:lvl>
    <w:lvl w:ilvl="8">
      <w:numFmt w:val="bullet"/>
      <w:lvlText w:val=""/>
      <w:lvlJc w:val="left"/>
      <w:pPr>
        <w:ind w:left="6531" w:hanging="360"/>
      </w:pPr>
      <w:rPr>
        <w:rFonts w:ascii="Wingdings" w:hAnsi="Wingdings"/>
      </w:rPr>
    </w:lvl>
  </w:abstractNum>
  <w:abstractNum w:abstractNumId="11" w15:restartNumberingAfterBreak="0">
    <w:nsid w:val="05622A84"/>
    <w:multiLevelType w:val="multilevel"/>
    <w:tmpl w:val="77E8A2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5DA38C0"/>
    <w:multiLevelType w:val="multilevel"/>
    <w:tmpl w:val="ABFEB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7B90509"/>
    <w:multiLevelType w:val="hybridMultilevel"/>
    <w:tmpl w:val="9306D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9F53E4B"/>
    <w:multiLevelType w:val="multilevel"/>
    <w:tmpl w:val="19D67AF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0B7704C5"/>
    <w:multiLevelType w:val="multilevel"/>
    <w:tmpl w:val="5A4CA6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15C556DA"/>
    <w:multiLevelType w:val="hybridMultilevel"/>
    <w:tmpl w:val="6876DB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72D3BBC"/>
    <w:multiLevelType w:val="hybridMultilevel"/>
    <w:tmpl w:val="87E26EAE"/>
    <w:lvl w:ilvl="0" w:tplc="8652818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C103630"/>
    <w:multiLevelType w:val="hybridMultilevel"/>
    <w:tmpl w:val="F33CF52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15:restartNumberingAfterBreak="0">
    <w:nsid w:val="1F566D5C"/>
    <w:multiLevelType w:val="multilevel"/>
    <w:tmpl w:val="67AEE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47721B6"/>
    <w:multiLevelType w:val="hybridMultilevel"/>
    <w:tmpl w:val="138661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26AE2C5F"/>
    <w:multiLevelType w:val="hybridMultilevel"/>
    <w:tmpl w:val="4CFA8D4C"/>
    <w:lvl w:ilvl="0" w:tplc="08090001">
      <w:start w:val="1"/>
      <w:numFmt w:val="bullet"/>
      <w:lvlText w:val=""/>
      <w:lvlJc w:val="left"/>
      <w:pPr>
        <w:ind w:left="786" w:hanging="360"/>
      </w:pPr>
      <w:rPr>
        <w:rFonts w:ascii="Symbol" w:hAnsi="Symbol" w:hint="default"/>
      </w:rPr>
    </w:lvl>
    <w:lvl w:ilvl="1" w:tplc="40207A88">
      <w:numFmt w:val="bullet"/>
      <w:lvlText w:val="•"/>
      <w:lvlJc w:val="left"/>
      <w:pPr>
        <w:ind w:left="1866" w:hanging="720"/>
      </w:pPr>
      <w:rPr>
        <w:rFonts w:ascii="Calibri" w:eastAsia="Times New Roman" w:hAnsi="Calibri" w:cs="Times New Roman"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2" w15:restartNumberingAfterBreak="0">
    <w:nsid w:val="27B20825"/>
    <w:multiLevelType w:val="hybridMultilevel"/>
    <w:tmpl w:val="6A6ACF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2F1F758D"/>
    <w:multiLevelType w:val="hybridMultilevel"/>
    <w:tmpl w:val="B70A72E2"/>
    <w:lvl w:ilvl="0" w:tplc="659ED4E4">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FD81B9D"/>
    <w:multiLevelType w:val="hybridMultilevel"/>
    <w:tmpl w:val="5720BBA4"/>
    <w:lvl w:ilvl="0" w:tplc="6FCE9558">
      <w:start w:val="9"/>
      <w:numFmt w:val="bullet"/>
      <w:lvlText w:val="•"/>
      <w:lvlJc w:val="left"/>
      <w:pPr>
        <w:ind w:left="1080" w:hanging="72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0976C9"/>
    <w:multiLevelType w:val="hybridMultilevel"/>
    <w:tmpl w:val="806AD43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351A720D"/>
    <w:multiLevelType w:val="hybridMultilevel"/>
    <w:tmpl w:val="68A2A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6DC5CA3"/>
    <w:multiLevelType w:val="hybridMultilevel"/>
    <w:tmpl w:val="2F4A8412"/>
    <w:lvl w:ilvl="0" w:tplc="1F16D2CE">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89E5747"/>
    <w:multiLevelType w:val="multilevel"/>
    <w:tmpl w:val="18E6A9FC"/>
    <w:lvl w:ilvl="0">
      <w:start w:val="4"/>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3A256AD8"/>
    <w:multiLevelType w:val="multilevel"/>
    <w:tmpl w:val="471ED21E"/>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3C135684"/>
    <w:multiLevelType w:val="hybridMultilevel"/>
    <w:tmpl w:val="B4DE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872521"/>
    <w:multiLevelType w:val="multilevel"/>
    <w:tmpl w:val="92C28F78"/>
    <w:lvl w:ilvl="0">
      <w:start w:val="5"/>
      <w:numFmt w:val="decimal"/>
      <w:lvlText w:val="%1."/>
      <w:lvlJc w:val="left"/>
      <w:pPr>
        <w:ind w:left="1211"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49D77A33"/>
    <w:multiLevelType w:val="hybridMultilevel"/>
    <w:tmpl w:val="8E54A7DE"/>
    <w:lvl w:ilvl="0" w:tplc="0809000F">
      <w:start w:val="1"/>
      <w:numFmt w:val="decimal"/>
      <w:lvlText w:val="%1."/>
      <w:lvlJc w:val="left"/>
      <w:pPr>
        <w:ind w:left="960" w:hanging="360"/>
      </w:pPr>
    </w:lvl>
    <w:lvl w:ilvl="1" w:tplc="08090019">
      <w:start w:val="1"/>
      <w:numFmt w:val="lowerLetter"/>
      <w:lvlText w:val="%2."/>
      <w:lvlJc w:val="left"/>
      <w:pPr>
        <w:ind w:left="1680" w:hanging="360"/>
      </w:pPr>
    </w:lvl>
    <w:lvl w:ilvl="2" w:tplc="0809001B" w:tentative="1">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33" w15:restartNumberingAfterBreak="0">
    <w:nsid w:val="4E4207F1"/>
    <w:multiLevelType w:val="hybridMultilevel"/>
    <w:tmpl w:val="A8566DA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24E39D1"/>
    <w:multiLevelType w:val="hybridMultilevel"/>
    <w:tmpl w:val="AD38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2B7AB6"/>
    <w:multiLevelType w:val="hybridMultilevel"/>
    <w:tmpl w:val="B4A0E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714237"/>
    <w:multiLevelType w:val="hybridMultilevel"/>
    <w:tmpl w:val="13503B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7" w15:restartNumberingAfterBreak="0">
    <w:nsid w:val="5BE472FC"/>
    <w:multiLevelType w:val="hybridMultilevel"/>
    <w:tmpl w:val="91E6AC64"/>
    <w:lvl w:ilvl="0" w:tplc="FBA22A06">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502541"/>
    <w:multiLevelType w:val="hybridMultilevel"/>
    <w:tmpl w:val="C1383276"/>
    <w:lvl w:ilvl="0" w:tplc="1F16D2CE">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5A242A"/>
    <w:multiLevelType w:val="multilevel"/>
    <w:tmpl w:val="131C93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3F9095A"/>
    <w:multiLevelType w:val="hybridMultilevel"/>
    <w:tmpl w:val="62E461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6470753E"/>
    <w:multiLevelType w:val="hybridMultilevel"/>
    <w:tmpl w:val="420AC7AC"/>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42" w15:restartNumberingAfterBreak="0">
    <w:nsid w:val="662561E4"/>
    <w:multiLevelType w:val="hybridMultilevel"/>
    <w:tmpl w:val="5268D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3" w15:restartNumberingAfterBreak="0">
    <w:nsid w:val="66B17441"/>
    <w:multiLevelType w:val="hybridMultilevel"/>
    <w:tmpl w:val="89FE5094"/>
    <w:lvl w:ilvl="0" w:tplc="0809000F">
      <w:start w:val="1"/>
      <w:numFmt w:val="decimal"/>
      <w:lvlText w:val="%1."/>
      <w:lvlJc w:val="left"/>
      <w:pPr>
        <w:ind w:left="960" w:hanging="360"/>
      </w:pPr>
    </w:lvl>
    <w:lvl w:ilvl="1" w:tplc="08090019">
      <w:start w:val="1"/>
      <w:numFmt w:val="lowerLetter"/>
      <w:lvlText w:val="%2."/>
      <w:lvlJc w:val="left"/>
      <w:pPr>
        <w:ind w:left="1680" w:hanging="360"/>
      </w:pPr>
    </w:lvl>
    <w:lvl w:ilvl="2" w:tplc="0809001B">
      <w:start w:val="1"/>
      <w:numFmt w:val="lowerRoman"/>
      <w:lvlText w:val="%3."/>
      <w:lvlJc w:val="right"/>
      <w:pPr>
        <w:ind w:left="2400" w:hanging="180"/>
      </w:pPr>
    </w:lvl>
    <w:lvl w:ilvl="3" w:tplc="0809000F" w:tentative="1">
      <w:start w:val="1"/>
      <w:numFmt w:val="decimal"/>
      <w:lvlText w:val="%4."/>
      <w:lvlJc w:val="left"/>
      <w:pPr>
        <w:ind w:left="3120" w:hanging="360"/>
      </w:pPr>
    </w:lvl>
    <w:lvl w:ilvl="4" w:tplc="08090019" w:tentative="1">
      <w:start w:val="1"/>
      <w:numFmt w:val="lowerLetter"/>
      <w:lvlText w:val="%5."/>
      <w:lvlJc w:val="left"/>
      <w:pPr>
        <w:ind w:left="3840" w:hanging="360"/>
      </w:pPr>
    </w:lvl>
    <w:lvl w:ilvl="5" w:tplc="0809001B" w:tentative="1">
      <w:start w:val="1"/>
      <w:numFmt w:val="lowerRoman"/>
      <w:lvlText w:val="%6."/>
      <w:lvlJc w:val="right"/>
      <w:pPr>
        <w:ind w:left="4560" w:hanging="180"/>
      </w:pPr>
    </w:lvl>
    <w:lvl w:ilvl="6" w:tplc="0809000F" w:tentative="1">
      <w:start w:val="1"/>
      <w:numFmt w:val="decimal"/>
      <w:lvlText w:val="%7."/>
      <w:lvlJc w:val="left"/>
      <w:pPr>
        <w:ind w:left="5280" w:hanging="360"/>
      </w:pPr>
    </w:lvl>
    <w:lvl w:ilvl="7" w:tplc="08090019" w:tentative="1">
      <w:start w:val="1"/>
      <w:numFmt w:val="lowerLetter"/>
      <w:lvlText w:val="%8."/>
      <w:lvlJc w:val="left"/>
      <w:pPr>
        <w:ind w:left="6000" w:hanging="360"/>
      </w:pPr>
    </w:lvl>
    <w:lvl w:ilvl="8" w:tplc="0809001B" w:tentative="1">
      <w:start w:val="1"/>
      <w:numFmt w:val="lowerRoman"/>
      <w:lvlText w:val="%9."/>
      <w:lvlJc w:val="right"/>
      <w:pPr>
        <w:ind w:left="6720" w:hanging="180"/>
      </w:pPr>
    </w:lvl>
  </w:abstractNum>
  <w:abstractNum w:abstractNumId="44" w15:restartNumberingAfterBreak="0">
    <w:nsid w:val="67142530"/>
    <w:multiLevelType w:val="hybridMultilevel"/>
    <w:tmpl w:val="C8CA8A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81D6100"/>
    <w:multiLevelType w:val="hybridMultilevel"/>
    <w:tmpl w:val="C2943BFE"/>
    <w:lvl w:ilvl="0" w:tplc="4E9E8E0C">
      <w:start w:val="1"/>
      <w:numFmt w:val="decimal"/>
      <w:pStyle w:val="Heading1"/>
      <w:lvlText w:val="%1."/>
      <w:lvlJc w:val="left"/>
      <w:pPr>
        <w:ind w:left="3338"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6CFA0EF6"/>
    <w:multiLevelType w:val="hybridMultilevel"/>
    <w:tmpl w:val="2A9AA290"/>
    <w:lvl w:ilvl="0" w:tplc="932478F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47" w15:restartNumberingAfterBreak="0">
    <w:nsid w:val="6F8106E5"/>
    <w:multiLevelType w:val="hybridMultilevel"/>
    <w:tmpl w:val="6F847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4676B98"/>
    <w:multiLevelType w:val="hybridMultilevel"/>
    <w:tmpl w:val="C50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75461B"/>
    <w:multiLevelType w:val="hybridMultilevel"/>
    <w:tmpl w:val="6BD4278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0" w15:restartNumberingAfterBreak="0">
    <w:nsid w:val="7B595F45"/>
    <w:multiLevelType w:val="hybridMultilevel"/>
    <w:tmpl w:val="AB9AB0C6"/>
    <w:lvl w:ilvl="0" w:tplc="67849E04">
      <w:start w:val="1"/>
      <w:numFmt w:val="lowerRoman"/>
      <w:lvlText w:val="(%1)"/>
      <w:lvlJc w:val="left"/>
      <w:pPr>
        <w:ind w:left="360" w:hanging="72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51" w15:restartNumberingAfterBreak="0">
    <w:nsid w:val="7E0D0417"/>
    <w:multiLevelType w:val="hybridMultilevel"/>
    <w:tmpl w:val="08C261EE"/>
    <w:lvl w:ilvl="0" w:tplc="45787A84">
      <w:start w:val="1"/>
      <w:numFmt w:val="bullet"/>
      <w:lvlText w:val="•"/>
      <w:lvlJc w:val="left"/>
      <w:pPr>
        <w:tabs>
          <w:tab w:val="num" w:pos="720"/>
        </w:tabs>
        <w:ind w:left="720" w:hanging="360"/>
      </w:pPr>
      <w:rPr>
        <w:rFonts w:ascii="Arial" w:hAnsi="Arial" w:hint="default"/>
      </w:rPr>
    </w:lvl>
    <w:lvl w:ilvl="1" w:tplc="ADE0F7FC">
      <w:numFmt w:val="bullet"/>
      <w:lvlText w:val="•"/>
      <w:lvlJc w:val="left"/>
      <w:pPr>
        <w:tabs>
          <w:tab w:val="num" w:pos="1440"/>
        </w:tabs>
        <w:ind w:left="1440" w:hanging="360"/>
      </w:pPr>
      <w:rPr>
        <w:rFonts w:ascii="Arial" w:hAnsi="Arial" w:hint="default"/>
      </w:rPr>
    </w:lvl>
    <w:lvl w:ilvl="2" w:tplc="0E24CC1C" w:tentative="1">
      <w:start w:val="1"/>
      <w:numFmt w:val="bullet"/>
      <w:lvlText w:val="•"/>
      <w:lvlJc w:val="left"/>
      <w:pPr>
        <w:tabs>
          <w:tab w:val="num" w:pos="2160"/>
        </w:tabs>
        <w:ind w:left="2160" w:hanging="360"/>
      </w:pPr>
      <w:rPr>
        <w:rFonts w:ascii="Arial" w:hAnsi="Arial" w:hint="default"/>
      </w:rPr>
    </w:lvl>
    <w:lvl w:ilvl="3" w:tplc="F5E052AC" w:tentative="1">
      <w:start w:val="1"/>
      <w:numFmt w:val="bullet"/>
      <w:lvlText w:val="•"/>
      <w:lvlJc w:val="left"/>
      <w:pPr>
        <w:tabs>
          <w:tab w:val="num" w:pos="2880"/>
        </w:tabs>
        <w:ind w:left="2880" w:hanging="360"/>
      </w:pPr>
      <w:rPr>
        <w:rFonts w:ascii="Arial" w:hAnsi="Arial" w:hint="default"/>
      </w:rPr>
    </w:lvl>
    <w:lvl w:ilvl="4" w:tplc="FAD67E12" w:tentative="1">
      <w:start w:val="1"/>
      <w:numFmt w:val="bullet"/>
      <w:lvlText w:val="•"/>
      <w:lvlJc w:val="left"/>
      <w:pPr>
        <w:tabs>
          <w:tab w:val="num" w:pos="3600"/>
        </w:tabs>
        <w:ind w:left="3600" w:hanging="360"/>
      </w:pPr>
      <w:rPr>
        <w:rFonts w:ascii="Arial" w:hAnsi="Arial" w:hint="default"/>
      </w:rPr>
    </w:lvl>
    <w:lvl w:ilvl="5" w:tplc="1A28CEF8" w:tentative="1">
      <w:start w:val="1"/>
      <w:numFmt w:val="bullet"/>
      <w:lvlText w:val="•"/>
      <w:lvlJc w:val="left"/>
      <w:pPr>
        <w:tabs>
          <w:tab w:val="num" w:pos="4320"/>
        </w:tabs>
        <w:ind w:left="4320" w:hanging="360"/>
      </w:pPr>
      <w:rPr>
        <w:rFonts w:ascii="Arial" w:hAnsi="Arial" w:hint="default"/>
      </w:rPr>
    </w:lvl>
    <w:lvl w:ilvl="6" w:tplc="ADB46748" w:tentative="1">
      <w:start w:val="1"/>
      <w:numFmt w:val="bullet"/>
      <w:lvlText w:val="•"/>
      <w:lvlJc w:val="left"/>
      <w:pPr>
        <w:tabs>
          <w:tab w:val="num" w:pos="5040"/>
        </w:tabs>
        <w:ind w:left="5040" w:hanging="360"/>
      </w:pPr>
      <w:rPr>
        <w:rFonts w:ascii="Arial" w:hAnsi="Arial" w:hint="default"/>
      </w:rPr>
    </w:lvl>
    <w:lvl w:ilvl="7" w:tplc="9F6ED9C8" w:tentative="1">
      <w:start w:val="1"/>
      <w:numFmt w:val="bullet"/>
      <w:lvlText w:val="•"/>
      <w:lvlJc w:val="left"/>
      <w:pPr>
        <w:tabs>
          <w:tab w:val="num" w:pos="5760"/>
        </w:tabs>
        <w:ind w:left="5760" w:hanging="360"/>
      </w:pPr>
      <w:rPr>
        <w:rFonts w:ascii="Arial" w:hAnsi="Arial" w:hint="default"/>
      </w:rPr>
    </w:lvl>
    <w:lvl w:ilvl="8" w:tplc="825CA1B8"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45"/>
  </w:num>
  <w:num w:numId="13">
    <w:abstractNumId w:val="21"/>
  </w:num>
  <w:num w:numId="14">
    <w:abstractNumId w:val="10"/>
  </w:num>
  <w:num w:numId="15">
    <w:abstractNumId w:val="24"/>
  </w:num>
  <w:num w:numId="16">
    <w:abstractNumId w:val="40"/>
  </w:num>
  <w:num w:numId="17">
    <w:abstractNumId w:val="13"/>
  </w:num>
  <w:num w:numId="18">
    <w:abstractNumId w:val="48"/>
  </w:num>
  <w:num w:numId="19">
    <w:abstractNumId w:val="36"/>
  </w:num>
  <w:num w:numId="20">
    <w:abstractNumId w:val="37"/>
  </w:num>
  <w:num w:numId="21">
    <w:abstractNumId w:val="25"/>
  </w:num>
  <w:num w:numId="22">
    <w:abstractNumId w:val="34"/>
  </w:num>
  <w:num w:numId="23">
    <w:abstractNumId w:val="49"/>
  </w:num>
  <w:num w:numId="24">
    <w:abstractNumId w:val="19"/>
  </w:num>
  <w:num w:numId="25">
    <w:abstractNumId w:val="51"/>
  </w:num>
  <w:num w:numId="26">
    <w:abstractNumId w:val="22"/>
  </w:num>
  <w:num w:numId="27">
    <w:abstractNumId w:val="46"/>
  </w:num>
  <w:num w:numId="28">
    <w:abstractNumId w:val="18"/>
  </w:num>
  <w:num w:numId="29">
    <w:abstractNumId w:val="11"/>
  </w:num>
  <w:num w:numId="30">
    <w:abstractNumId w:val="29"/>
  </w:num>
  <w:num w:numId="31">
    <w:abstractNumId w:val="12"/>
  </w:num>
  <w:num w:numId="32">
    <w:abstractNumId w:val="28"/>
  </w:num>
  <w:num w:numId="33">
    <w:abstractNumId w:val="32"/>
  </w:num>
  <w:num w:numId="34">
    <w:abstractNumId w:val="43"/>
  </w:num>
  <w:num w:numId="35">
    <w:abstractNumId w:val="31"/>
  </w:num>
  <w:num w:numId="36">
    <w:abstractNumId w:val="15"/>
  </w:num>
  <w:num w:numId="37">
    <w:abstractNumId w:val="14"/>
  </w:num>
  <w:num w:numId="38">
    <w:abstractNumId w:val="30"/>
  </w:num>
  <w:num w:numId="39">
    <w:abstractNumId w:val="44"/>
  </w:num>
  <w:num w:numId="40">
    <w:abstractNumId w:val="50"/>
  </w:num>
  <w:num w:numId="41">
    <w:abstractNumId w:val="41"/>
  </w:num>
  <w:num w:numId="42">
    <w:abstractNumId w:val="42"/>
  </w:num>
  <w:num w:numId="43">
    <w:abstractNumId w:val="20"/>
  </w:num>
  <w:num w:numId="44">
    <w:abstractNumId w:val="33"/>
  </w:num>
  <w:num w:numId="45">
    <w:abstractNumId w:val="38"/>
  </w:num>
  <w:num w:numId="46">
    <w:abstractNumId w:val="27"/>
  </w:num>
  <w:num w:numId="47">
    <w:abstractNumId w:val="39"/>
  </w:num>
  <w:num w:numId="48">
    <w:abstractNumId w:val="26"/>
  </w:num>
  <w:num w:numId="49">
    <w:abstractNumId w:val="16"/>
  </w:num>
  <w:num w:numId="50">
    <w:abstractNumId w:val="23"/>
  </w:num>
  <w:num w:numId="51">
    <w:abstractNumId w:val="35"/>
  </w:num>
  <w:num w:numId="52">
    <w:abstractNumId w:val="4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defaultTabStop w:val="113"/>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BF1"/>
    <w:rsid w:val="000003DB"/>
    <w:rsid w:val="00000EAC"/>
    <w:rsid w:val="0000109F"/>
    <w:rsid w:val="0000132E"/>
    <w:rsid w:val="000015E2"/>
    <w:rsid w:val="000017F2"/>
    <w:rsid w:val="00001E04"/>
    <w:rsid w:val="00003234"/>
    <w:rsid w:val="0000393F"/>
    <w:rsid w:val="00003965"/>
    <w:rsid w:val="00003D63"/>
    <w:rsid w:val="00004A01"/>
    <w:rsid w:val="000052CC"/>
    <w:rsid w:val="000059F3"/>
    <w:rsid w:val="00005B2D"/>
    <w:rsid w:val="0000652E"/>
    <w:rsid w:val="0000660E"/>
    <w:rsid w:val="000066AF"/>
    <w:rsid w:val="00006845"/>
    <w:rsid w:val="0001083B"/>
    <w:rsid w:val="00010847"/>
    <w:rsid w:val="0001118A"/>
    <w:rsid w:val="00012AF4"/>
    <w:rsid w:val="00013345"/>
    <w:rsid w:val="00013601"/>
    <w:rsid w:val="00014738"/>
    <w:rsid w:val="000148EC"/>
    <w:rsid w:val="000155C3"/>
    <w:rsid w:val="00015797"/>
    <w:rsid w:val="00016FEB"/>
    <w:rsid w:val="00017C2B"/>
    <w:rsid w:val="00020B20"/>
    <w:rsid w:val="00022562"/>
    <w:rsid w:val="000230AC"/>
    <w:rsid w:val="000233F8"/>
    <w:rsid w:val="000242FB"/>
    <w:rsid w:val="0002494D"/>
    <w:rsid w:val="00024D5F"/>
    <w:rsid w:val="000255F4"/>
    <w:rsid w:val="0002604B"/>
    <w:rsid w:val="00026F86"/>
    <w:rsid w:val="0002724A"/>
    <w:rsid w:val="00027B59"/>
    <w:rsid w:val="000300A5"/>
    <w:rsid w:val="00031005"/>
    <w:rsid w:val="0003132D"/>
    <w:rsid w:val="00032CF3"/>
    <w:rsid w:val="00033214"/>
    <w:rsid w:val="00033568"/>
    <w:rsid w:val="00033664"/>
    <w:rsid w:val="00033F0B"/>
    <w:rsid w:val="00035619"/>
    <w:rsid w:val="00035A01"/>
    <w:rsid w:val="00035A05"/>
    <w:rsid w:val="00035AFA"/>
    <w:rsid w:val="00037B2C"/>
    <w:rsid w:val="000402A1"/>
    <w:rsid w:val="000402EC"/>
    <w:rsid w:val="00040345"/>
    <w:rsid w:val="00040F9B"/>
    <w:rsid w:val="00041217"/>
    <w:rsid w:val="0004179B"/>
    <w:rsid w:val="00041859"/>
    <w:rsid w:val="00041EE9"/>
    <w:rsid w:val="00042064"/>
    <w:rsid w:val="00042B89"/>
    <w:rsid w:val="000449AE"/>
    <w:rsid w:val="000451CB"/>
    <w:rsid w:val="0004535A"/>
    <w:rsid w:val="000455D4"/>
    <w:rsid w:val="0004564B"/>
    <w:rsid w:val="00046058"/>
    <w:rsid w:val="00047240"/>
    <w:rsid w:val="000479DD"/>
    <w:rsid w:val="000502AC"/>
    <w:rsid w:val="000507DC"/>
    <w:rsid w:val="000507F1"/>
    <w:rsid w:val="000508DF"/>
    <w:rsid w:val="0005161F"/>
    <w:rsid w:val="00051770"/>
    <w:rsid w:val="000518CC"/>
    <w:rsid w:val="000521EF"/>
    <w:rsid w:val="00053137"/>
    <w:rsid w:val="000539E6"/>
    <w:rsid w:val="00053F32"/>
    <w:rsid w:val="00054A55"/>
    <w:rsid w:val="00054CA7"/>
    <w:rsid w:val="00054D9E"/>
    <w:rsid w:val="000550A7"/>
    <w:rsid w:val="00056AC9"/>
    <w:rsid w:val="00057351"/>
    <w:rsid w:val="00057DE5"/>
    <w:rsid w:val="00060B17"/>
    <w:rsid w:val="00061285"/>
    <w:rsid w:val="0006234B"/>
    <w:rsid w:val="00062CBC"/>
    <w:rsid w:val="0006345B"/>
    <w:rsid w:val="00063F29"/>
    <w:rsid w:val="00064920"/>
    <w:rsid w:val="00064A5E"/>
    <w:rsid w:val="00065290"/>
    <w:rsid w:val="00065930"/>
    <w:rsid w:val="00065939"/>
    <w:rsid w:val="00066141"/>
    <w:rsid w:val="00067D95"/>
    <w:rsid w:val="00070FC3"/>
    <w:rsid w:val="000710A9"/>
    <w:rsid w:val="00071272"/>
    <w:rsid w:val="00071B15"/>
    <w:rsid w:val="00071EEB"/>
    <w:rsid w:val="000723D6"/>
    <w:rsid w:val="0007274F"/>
    <w:rsid w:val="0007285F"/>
    <w:rsid w:val="00073819"/>
    <w:rsid w:val="000749DA"/>
    <w:rsid w:val="00074E92"/>
    <w:rsid w:val="000756EA"/>
    <w:rsid w:val="00075D15"/>
    <w:rsid w:val="00076B82"/>
    <w:rsid w:val="00076E1B"/>
    <w:rsid w:val="0008012B"/>
    <w:rsid w:val="0008032E"/>
    <w:rsid w:val="000817C2"/>
    <w:rsid w:val="000825E4"/>
    <w:rsid w:val="00082730"/>
    <w:rsid w:val="000838B8"/>
    <w:rsid w:val="00083C4F"/>
    <w:rsid w:val="0008411A"/>
    <w:rsid w:val="00085406"/>
    <w:rsid w:val="00085BE3"/>
    <w:rsid w:val="00086A7D"/>
    <w:rsid w:val="00086BDB"/>
    <w:rsid w:val="000877CF"/>
    <w:rsid w:val="00087A72"/>
    <w:rsid w:val="0009045B"/>
    <w:rsid w:val="00090ACE"/>
    <w:rsid w:val="000917AC"/>
    <w:rsid w:val="000917B7"/>
    <w:rsid w:val="00091BE5"/>
    <w:rsid w:val="00092C9C"/>
    <w:rsid w:val="000937E4"/>
    <w:rsid w:val="00093E50"/>
    <w:rsid w:val="00094F10"/>
    <w:rsid w:val="00095875"/>
    <w:rsid w:val="00095911"/>
    <w:rsid w:val="00095CD4"/>
    <w:rsid w:val="00096479"/>
    <w:rsid w:val="000971CE"/>
    <w:rsid w:val="000973B5"/>
    <w:rsid w:val="000A0472"/>
    <w:rsid w:val="000A0F43"/>
    <w:rsid w:val="000A1487"/>
    <w:rsid w:val="000A368E"/>
    <w:rsid w:val="000A37F0"/>
    <w:rsid w:val="000A4B7B"/>
    <w:rsid w:val="000A5906"/>
    <w:rsid w:val="000A5EDB"/>
    <w:rsid w:val="000A645D"/>
    <w:rsid w:val="000A6598"/>
    <w:rsid w:val="000A6AAD"/>
    <w:rsid w:val="000A77E6"/>
    <w:rsid w:val="000B04D1"/>
    <w:rsid w:val="000B0F86"/>
    <w:rsid w:val="000B114A"/>
    <w:rsid w:val="000B1455"/>
    <w:rsid w:val="000B37E7"/>
    <w:rsid w:val="000B42D3"/>
    <w:rsid w:val="000B5F9D"/>
    <w:rsid w:val="000B60DE"/>
    <w:rsid w:val="000B6581"/>
    <w:rsid w:val="000B6841"/>
    <w:rsid w:val="000C1E4E"/>
    <w:rsid w:val="000C1E61"/>
    <w:rsid w:val="000C2604"/>
    <w:rsid w:val="000C3E72"/>
    <w:rsid w:val="000C3F5F"/>
    <w:rsid w:val="000C4A97"/>
    <w:rsid w:val="000C52BA"/>
    <w:rsid w:val="000C5D1D"/>
    <w:rsid w:val="000C5D3C"/>
    <w:rsid w:val="000C5F99"/>
    <w:rsid w:val="000C7010"/>
    <w:rsid w:val="000C7612"/>
    <w:rsid w:val="000D017E"/>
    <w:rsid w:val="000D078F"/>
    <w:rsid w:val="000D0A55"/>
    <w:rsid w:val="000D2488"/>
    <w:rsid w:val="000D2AB5"/>
    <w:rsid w:val="000D2F87"/>
    <w:rsid w:val="000D4D6B"/>
    <w:rsid w:val="000D4F22"/>
    <w:rsid w:val="000D638E"/>
    <w:rsid w:val="000D6CFA"/>
    <w:rsid w:val="000D7D7B"/>
    <w:rsid w:val="000E0016"/>
    <w:rsid w:val="000E0A05"/>
    <w:rsid w:val="000E0F44"/>
    <w:rsid w:val="000E19FE"/>
    <w:rsid w:val="000E22B8"/>
    <w:rsid w:val="000E249A"/>
    <w:rsid w:val="000E2BC4"/>
    <w:rsid w:val="000E3EA6"/>
    <w:rsid w:val="000E4B20"/>
    <w:rsid w:val="000E4FAD"/>
    <w:rsid w:val="000E6485"/>
    <w:rsid w:val="000E66C0"/>
    <w:rsid w:val="000E6DF0"/>
    <w:rsid w:val="000E723C"/>
    <w:rsid w:val="000E7664"/>
    <w:rsid w:val="000E7B37"/>
    <w:rsid w:val="000F097C"/>
    <w:rsid w:val="000F11A9"/>
    <w:rsid w:val="000F177E"/>
    <w:rsid w:val="000F2393"/>
    <w:rsid w:val="000F28D9"/>
    <w:rsid w:val="000F2F98"/>
    <w:rsid w:val="000F405E"/>
    <w:rsid w:val="000F464E"/>
    <w:rsid w:val="000F5799"/>
    <w:rsid w:val="000F63D5"/>
    <w:rsid w:val="000F68AF"/>
    <w:rsid w:val="000F74A5"/>
    <w:rsid w:val="000F7622"/>
    <w:rsid w:val="000F7810"/>
    <w:rsid w:val="001002D3"/>
    <w:rsid w:val="00100854"/>
    <w:rsid w:val="00102337"/>
    <w:rsid w:val="00103BE2"/>
    <w:rsid w:val="001042C9"/>
    <w:rsid w:val="0010454D"/>
    <w:rsid w:val="001052D3"/>
    <w:rsid w:val="001059AA"/>
    <w:rsid w:val="00106358"/>
    <w:rsid w:val="00106BA7"/>
    <w:rsid w:val="00107A97"/>
    <w:rsid w:val="00110EA7"/>
    <w:rsid w:val="0011108F"/>
    <w:rsid w:val="001123AD"/>
    <w:rsid w:val="00112734"/>
    <w:rsid w:val="001130BE"/>
    <w:rsid w:val="00113462"/>
    <w:rsid w:val="001144DB"/>
    <w:rsid w:val="0011469C"/>
    <w:rsid w:val="00115782"/>
    <w:rsid w:val="0011591C"/>
    <w:rsid w:val="00115BD3"/>
    <w:rsid w:val="001161C9"/>
    <w:rsid w:val="0011651B"/>
    <w:rsid w:val="001166DC"/>
    <w:rsid w:val="001174A9"/>
    <w:rsid w:val="00117A8D"/>
    <w:rsid w:val="001201B4"/>
    <w:rsid w:val="0012083E"/>
    <w:rsid w:val="00120A48"/>
    <w:rsid w:val="00120B6B"/>
    <w:rsid w:val="0012138A"/>
    <w:rsid w:val="0012161D"/>
    <w:rsid w:val="0012166F"/>
    <w:rsid w:val="00121931"/>
    <w:rsid w:val="00121B99"/>
    <w:rsid w:val="00121F42"/>
    <w:rsid w:val="00122E2A"/>
    <w:rsid w:val="0012441D"/>
    <w:rsid w:val="00124D72"/>
    <w:rsid w:val="00126212"/>
    <w:rsid w:val="0012655F"/>
    <w:rsid w:val="00126C5E"/>
    <w:rsid w:val="00127B14"/>
    <w:rsid w:val="00130A80"/>
    <w:rsid w:val="001313B0"/>
    <w:rsid w:val="001331CD"/>
    <w:rsid w:val="0013369E"/>
    <w:rsid w:val="00133F08"/>
    <w:rsid w:val="001345F7"/>
    <w:rsid w:val="00135466"/>
    <w:rsid w:val="00136846"/>
    <w:rsid w:val="00136AFB"/>
    <w:rsid w:val="00136F6F"/>
    <w:rsid w:val="00137E80"/>
    <w:rsid w:val="001405BD"/>
    <w:rsid w:val="00141515"/>
    <w:rsid w:val="00141612"/>
    <w:rsid w:val="00141EE5"/>
    <w:rsid w:val="00142298"/>
    <w:rsid w:val="001426AF"/>
    <w:rsid w:val="00143921"/>
    <w:rsid w:val="00143D22"/>
    <w:rsid w:val="00143D29"/>
    <w:rsid w:val="00143F87"/>
    <w:rsid w:val="001441F6"/>
    <w:rsid w:val="001448B3"/>
    <w:rsid w:val="00144A44"/>
    <w:rsid w:val="00144F45"/>
    <w:rsid w:val="001450B1"/>
    <w:rsid w:val="00145A16"/>
    <w:rsid w:val="00145D8F"/>
    <w:rsid w:val="00146C21"/>
    <w:rsid w:val="0014742E"/>
    <w:rsid w:val="00147754"/>
    <w:rsid w:val="0014785A"/>
    <w:rsid w:val="00147D12"/>
    <w:rsid w:val="001501F8"/>
    <w:rsid w:val="00150388"/>
    <w:rsid w:val="001519F4"/>
    <w:rsid w:val="00151CF4"/>
    <w:rsid w:val="00151F53"/>
    <w:rsid w:val="0015319F"/>
    <w:rsid w:val="00153967"/>
    <w:rsid w:val="00153A71"/>
    <w:rsid w:val="00153FAF"/>
    <w:rsid w:val="001540AF"/>
    <w:rsid w:val="001548F1"/>
    <w:rsid w:val="00154D2C"/>
    <w:rsid w:val="00154E87"/>
    <w:rsid w:val="0015582E"/>
    <w:rsid w:val="00155E8C"/>
    <w:rsid w:val="00156A51"/>
    <w:rsid w:val="00156FDC"/>
    <w:rsid w:val="00157CA3"/>
    <w:rsid w:val="00160CC2"/>
    <w:rsid w:val="001629DC"/>
    <w:rsid w:val="00164142"/>
    <w:rsid w:val="00164AC4"/>
    <w:rsid w:val="00165D82"/>
    <w:rsid w:val="00166177"/>
    <w:rsid w:val="001669B1"/>
    <w:rsid w:val="00166BE9"/>
    <w:rsid w:val="001703DB"/>
    <w:rsid w:val="0017061B"/>
    <w:rsid w:val="00171349"/>
    <w:rsid w:val="001730BB"/>
    <w:rsid w:val="00173819"/>
    <w:rsid w:val="00174424"/>
    <w:rsid w:val="00174503"/>
    <w:rsid w:val="00174EBF"/>
    <w:rsid w:val="00175BF8"/>
    <w:rsid w:val="00175C68"/>
    <w:rsid w:val="0017604F"/>
    <w:rsid w:val="00176AB0"/>
    <w:rsid w:val="00176B40"/>
    <w:rsid w:val="001812F6"/>
    <w:rsid w:val="001817D5"/>
    <w:rsid w:val="00181E16"/>
    <w:rsid w:val="00182193"/>
    <w:rsid w:val="00182A04"/>
    <w:rsid w:val="0018376E"/>
    <w:rsid w:val="001838D8"/>
    <w:rsid w:val="00184224"/>
    <w:rsid w:val="001848C7"/>
    <w:rsid w:val="00184AF8"/>
    <w:rsid w:val="00185073"/>
    <w:rsid w:val="00186033"/>
    <w:rsid w:val="001860B2"/>
    <w:rsid w:val="00186592"/>
    <w:rsid w:val="00186DEE"/>
    <w:rsid w:val="0018782F"/>
    <w:rsid w:val="00187AE3"/>
    <w:rsid w:val="00187C9F"/>
    <w:rsid w:val="0019045D"/>
    <w:rsid w:val="001908BF"/>
    <w:rsid w:val="00191DE9"/>
    <w:rsid w:val="00191EB2"/>
    <w:rsid w:val="001931A6"/>
    <w:rsid w:val="001931BE"/>
    <w:rsid w:val="00193595"/>
    <w:rsid w:val="00193ADC"/>
    <w:rsid w:val="00193D66"/>
    <w:rsid w:val="00193E35"/>
    <w:rsid w:val="00193E60"/>
    <w:rsid w:val="00194908"/>
    <w:rsid w:val="001956F0"/>
    <w:rsid w:val="001961BF"/>
    <w:rsid w:val="00196CCD"/>
    <w:rsid w:val="001A03A6"/>
    <w:rsid w:val="001A07C8"/>
    <w:rsid w:val="001A0AB1"/>
    <w:rsid w:val="001A17CD"/>
    <w:rsid w:val="001A2976"/>
    <w:rsid w:val="001A2DBD"/>
    <w:rsid w:val="001A2DC1"/>
    <w:rsid w:val="001A4291"/>
    <w:rsid w:val="001A45A6"/>
    <w:rsid w:val="001A525B"/>
    <w:rsid w:val="001A56D8"/>
    <w:rsid w:val="001A674C"/>
    <w:rsid w:val="001A73B5"/>
    <w:rsid w:val="001A74CF"/>
    <w:rsid w:val="001A765A"/>
    <w:rsid w:val="001A7982"/>
    <w:rsid w:val="001A7E99"/>
    <w:rsid w:val="001B13DC"/>
    <w:rsid w:val="001B1855"/>
    <w:rsid w:val="001B1FC9"/>
    <w:rsid w:val="001B20C9"/>
    <w:rsid w:val="001B2385"/>
    <w:rsid w:val="001B37E5"/>
    <w:rsid w:val="001B3C28"/>
    <w:rsid w:val="001B3E22"/>
    <w:rsid w:val="001B409D"/>
    <w:rsid w:val="001B4FE6"/>
    <w:rsid w:val="001B59E8"/>
    <w:rsid w:val="001B649B"/>
    <w:rsid w:val="001B64FC"/>
    <w:rsid w:val="001B6AFA"/>
    <w:rsid w:val="001B7391"/>
    <w:rsid w:val="001C077F"/>
    <w:rsid w:val="001C0E7E"/>
    <w:rsid w:val="001C17C1"/>
    <w:rsid w:val="001C2053"/>
    <w:rsid w:val="001C282C"/>
    <w:rsid w:val="001C2F69"/>
    <w:rsid w:val="001C3D87"/>
    <w:rsid w:val="001C3E77"/>
    <w:rsid w:val="001C4AF3"/>
    <w:rsid w:val="001C4BE0"/>
    <w:rsid w:val="001C5210"/>
    <w:rsid w:val="001C5C2D"/>
    <w:rsid w:val="001C5DF0"/>
    <w:rsid w:val="001C7652"/>
    <w:rsid w:val="001C7A6A"/>
    <w:rsid w:val="001D00FF"/>
    <w:rsid w:val="001D126D"/>
    <w:rsid w:val="001D2BB9"/>
    <w:rsid w:val="001D2DE2"/>
    <w:rsid w:val="001D3471"/>
    <w:rsid w:val="001D3C85"/>
    <w:rsid w:val="001D4D80"/>
    <w:rsid w:val="001D51C3"/>
    <w:rsid w:val="001D5353"/>
    <w:rsid w:val="001D7C9B"/>
    <w:rsid w:val="001E10AE"/>
    <w:rsid w:val="001E149F"/>
    <w:rsid w:val="001E296C"/>
    <w:rsid w:val="001E2A73"/>
    <w:rsid w:val="001E3539"/>
    <w:rsid w:val="001E3FEB"/>
    <w:rsid w:val="001E5F45"/>
    <w:rsid w:val="001E6DBD"/>
    <w:rsid w:val="001E75DF"/>
    <w:rsid w:val="001F15E9"/>
    <w:rsid w:val="001F1826"/>
    <w:rsid w:val="001F1CAD"/>
    <w:rsid w:val="001F21D2"/>
    <w:rsid w:val="001F240F"/>
    <w:rsid w:val="001F361D"/>
    <w:rsid w:val="001F3948"/>
    <w:rsid w:val="001F3F94"/>
    <w:rsid w:val="001F4535"/>
    <w:rsid w:val="001F46DF"/>
    <w:rsid w:val="001F49FB"/>
    <w:rsid w:val="001F4BA0"/>
    <w:rsid w:val="001F4D2D"/>
    <w:rsid w:val="001F52B3"/>
    <w:rsid w:val="001F55F4"/>
    <w:rsid w:val="001F5601"/>
    <w:rsid w:val="001F685A"/>
    <w:rsid w:val="001F6B27"/>
    <w:rsid w:val="001F6E13"/>
    <w:rsid w:val="001F7A11"/>
    <w:rsid w:val="002000B2"/>
    <w:rsid w:val="00200C97"/>
    <w:rsid w:val="002017D6"/>
    <w:rsid w:val="00202368"/>
    <w:rsid w:val="002028A6"/>
    <w:rsid w:val="00202D02"/>
    <w:rsid w:val="00203217"/>
    <w:rsid w:val="00203A56"/>
    <w:rsid w:val="00203F29"/>
    <w:rsid w:val="002041E2"/>
    <w:rsid w:val="002045AB"/>
    <w:rsid w:val="0020460C"/>
    <w:rsid w:val="00204DCC"/>
    <w:rsid w:val="0020520D"/>
    <w:rsid w:val="00205418"/>
    <w:rsid w:val="002059A2"/>
    <w:rsid w:val="00205B46"/>
    <w:rsid w:val="0020656D"/>
    <w:rsid w:val="00206DE5"/>
    <w:rsid w:val="00207B95"/>
    <w:rsid w:val="00207EAC"/>
    <w:rsid w:val="0021042A"/>
    <w:rsid w:val="00210BF4"/>
    <w:rsid w:val="0021267E"/>
    <w:rsid w:val="00212A66"/>
    <w:rsid w:val="00212BE8"/>
    <w:rsid w:val="002137B6"/>
    <w:rsid w:val="00213C0C"/>
    <w:rsid w:val="00213C7F"/>
    <w:rsid w:val="00214CDE"/>
    <w:rsid w:val="00215090"/>
    <w:rsid w:val="0021591C"/>
    <w:rsid w:val="00215994"/>
    <w:rsid w:val="00215A9B"/>
    <w:rsid w:val="002164EF"/>
    <w:rsid w:val="002166FF"/>
    <w:rsid w:val="00217185"/>
    <w:rsid w:val="00220CF7"/>
    <w:rsid w:val="00221159"/>
    <w:rsid w:val="002212D1"/>
    <w:rsid w:val="00221C3F"/>
    <w:rsid w:val="00221CCD"/>
    <w:rsid w:val="00222DFC"/>
    <w:rsid w:val="002236EE"/>
    <w:rsid w:val="002241FA"/>
    <w:rsid w:val="00224A3F"/>
    <w:rsid w:val="00224C79"/>
    <w:rsid w:val="00224D2F"/>
    <w:rsid w:val="00224F52"/>
    <w:rsid w:val="002254F7"/>
    <w:rsid w:val="0022631C"/>
    <w:rsid w:val="002267E0"/>
    <w:rsid w:val="00226D5F"/>
    <w:rsid w:val="002272E0"/>
    <w:rsid w:val="00227821"/>
    <w:rsid w:val="00227F33"/>
    <w:rsid w:val="00230B28"/>
    <w:rsid w:val="002318BC"/>
    <w:rsid w:val="0023260B"/>
    <w:rsid w:val="00232E84"/>
    <w:rsid w:val="002342D6"/>
    <w:rsid w:val="00234951"/>
    <w:rsid w:val="00235739"/>
    <w:rsid w:val="00235E62"/>
    <w:rsid w:val="00235F3C"/>
    <w:rsid w:val="00236BB4"/>
    <w:rsid w:val="00237A4E"/>
    <w:rsid w:val="00241143"/>
    <w:rsid w:val="00241486"/>
    <w:rsid w:val="002418C5"/>
    <w:rsid w:val="00241D06"/>
    <w:rsid w:val="002420EE"/>
    <w:rsid w:val="00242A45"/>
    <w:rsid w:val="00242C53"/>
    <w:rsid w:val="00242FC7"/>
    <w:rsid w:val="00243584"/>
    <w:rsid w:val="00243D3B"/>
    <w:rsid w:val="00243FE1"/>
    <w:rsid w:val="002447F0"/>
    <w:rsid w:val="00244B97"/>
    <w:rsid w:val="00245247"/>
    <w:rsid w:val="002452DB"/>
    <w:rsid w:val="00245B53"/>
    <w:rsid w:val="00246D68"/>
    <w:rsid w:val="00246E0A"/>
    <w:rsid w:val="00247752"/>
    <w:rsid w:val="00247BF8"/>
    <w:rsid w:val="00250F6F"/>
    <w:rsid w:val="00250FFB"/>
    <w:rsid w:val="00251121"/>
    <w:rsid w:val="0025148F"/>
    <w:rsid w:val="00252B9D"/>
    <w:rsid w:val="00253859"/>
    <w:rsid w:val="00253CDD"/>
    <w:rsid w:val="00254B97"/>
    <w:rsid w:val="002554A3"/>
    <w:rsid w:val="002560EA"/>
    <w:rsid w:val="00260C67"/>
    <w:rsid w:val="002614A4"/>
    <w:rsid w:val="002618CF"/>
    <w:rsid w:val="00261AF1"/>
    <w:rsid w:val="00262DCB"/>
    <w:rsid w:val="00262EC7"/>
    <w:rsid w:val="00262ED1"/>
    <w:rsid w:val="00264327"/>
    <w:rsid w:val="00264832"/>
    <w:rsid w:val="00264E30"/>
    <w:rsid w:val="0026528B"/>
    <w:rsid w:val="00265F72"/>
    <w:rsid w:val="002661A4"/>
    <w:rsid w:val="002661C8"/>
    <w:rsid w:val="002663BC"/>
    <w:rsid w:val="0026691A"/>
    <w:rsid w:val="00266B93"/>
    <w:rsid w:val="00266E94"/>
    <w:rsid w:val="002673F2"/>
    <w:rsid w:val="00267634"/>
    <w:rsid w:val="00267BED"/>
    <w:rsid w:val="00270693"/>
    <w:rsid w:val="00270A79"/>
    <w:rsid w:val="002715A7"/>
    <w:rsid w:val="00271E71"/>
    <w:rsid w:val="00275A9C"/>
    <w:rsid w:val="00275C6C"/>
    <w:rsid w:val="00275E58"/>
    <w:rsid w:val="002768DB"/>
    <w:rsid w:val="00276A96"/>
    <w:rsid w:val="00276B5D"/>
    <w:rsid w:val="00276DE3"/>
    <w:rsid w:val="0027761F"/>
    <w:rsid w:val="00280752"/>
    <w:rsid w:val="0028180A"/>
    <w:rsid w:val="00282208"/>
    <w:rsid w:val="0028228C"/>
    <w:rsid w:val="00283867"/>
    <w:rsid w:val="00284453"/>
    <w:rsid w:val="00284581"/>
    <w:rsid w:val="002857C8"/>
    <w:rsid w:val="002863E4"/>
    <w:rsid w:val="00286EE5"/>
    <w:rsid w:val="00287647"/>
    <w:rsid w:val="00287D5D"/>
    <w:rsid w:val="00290070"/>
    <w:rsid w:val="00290D93"/>
    <w:rsid w:val="00291055"/>
    <w:rsid w:val="00291111"/>
    <w:rsid w:val="002916D6"/>
    <w:rsid w:val="00291EF9"/>
    <w:rsid w:val="00292987"/>
    <w:rsid w:val="0029493F"/>
    <w:rsid w:val="0029494B"/>
    <w:rsid w:val="00294C95"/>
    <w:rsid w:val="002957D4"/>
    <w:rsid w:val="00295A4D"/>
    <w:rsid w:val="00295AD0"/>
    <w:rsid w:val="0029624F"/>
    <w:rsid w:val="00296324"/>
    <w:rsid w:val="002965F9"/>
    <w:rsid w:val="002967AD"/>
    <w:rsid w:val="002968F5"/>
    <w:rsid w:val="00297B4B"/>
    <w:rsid w:val="00297C56"/>
    <w:rsid w:val="00297E31"/>
    <w:rsid w:val="002A10D9"/>
    <w:rsid w:val="002A1707"/>
    <w:rsid w:val="002A3619"/>
    <w:rsid w:val="002A4416"/>
    <w:rsid w:val="002A4F74"/>
    <w:rsid w:val="002A5245"/>
    <w:rsid w:val="002A531E"/>
    <w:rsid w:val="002A5AD7"/>
    <w:rsid w:val="002A5BD3"/>
    <w:rsid w:val="002A5C5A"/>
    <w:rsid w:val="002A6486"/>
    <w:rsid w:val="002A6A5C"/>
    <w:rsid w:val="002A6BB0"/>
    <w:rsid w:val="002A6BF1"/>
    <w:rsid w:val="002A777F"/>
    <w:rsid w:val="002B1194"/>
    <w:rsid w:val="002B272F"/>
    <w:rsid w:val="002B2A29"/>
    <w:rsid w:val="002B3BE5"/>
    <w:rsid w:val="002B408E"/>
    <w:rsid w:val="002B40A5"/>
    <w:rsid w:val="002B4C53"/>
    <w:rsid w:val="002B5626"/>
    <w:rsid w:val="002B57DE"/>
    <w:rsid w:val="002B59A9"/>
    <w:rsid w:val="002B6FED"/>
    <w:rsid w:val="002B708B"/>
    <w:rsid w:val="002B71C2"/>
    <w:rsid w:val="002C0398"/>
    <w:rsid w:val="002C03BE"/>
    <w:rsid w:val="002C0B20"/>
    <w:rsid w:val="002C10E8"/>
    <w:rsid w:val="002C12CC"/>
    <w:rsid w:val="002C1509"/>
    <w:rsid w:val="002C1F47"/>
    <w:rsid w:val="002C213A"/>
    <w:rsid w:val="002C217E"/>
    <w:rsid w:val="002C2259"/>
    <w:rsid w:val="002C299F"/>
    <w:rsid w:val="002C56E1"/>
    <w:rsid w:val="002C5911"/>
    <w:rsid w:val="002C78A7"/>
    <w:rsid w:val="002D0BDD"/>
    <w:rsid w:val="002D125B"/>
    <w:rsid w:val="002D18FE"/>
    <w:rsid w:val="002D258C"/>
    <w:rsid w:val="002D285F"/>
    <w:rsid w:val="002D29F6"/>
    <w:rsid w:val="002D31D9"/>
    <w:rsid w:val="002D3819"/>
    <w:rsid w:val="002D43BC"/>
    <w:rsid w:val="002D43DB"/>
    <w:rsid w:val="002D4B20"/>
    <w:rsid w:val="002D5E3B"/>
    <w:rsid w:val="002D617E"/>
    <w:rsid w:val="002D62A7"/>
    <w:rsid w:val="002D6858"/>
    <w:rsid w:val="002D6F21"/>
    <w:rsid w:val="002D7C04"/>
    <w:rsid w:val="002E020E"/>
    <w:rsid w:val="002E044A"/>
    <w:rsid w:val="002E05F3"/>
    <w:rsid w:val="002E1DEE"/>
    <w:rsid w:val="002E2534"/>
    <w:rsid w:val="002E2B7C"/>
    <w:rsid w:val="002E303B"/>
    <w:rsid w:val="002E461B"/>
    <w:rsid w:val="002E5CA4"/>
    <w:rsid w:val="002E770D"/>
    <w:rsid w:val="002F117E"/>
    <w:rsid w:val="002F1359"/>
    <w:rsid w:val="002F1BD1"/>
    <w:rsid w:val="002F29C0"/>
    <w:rsid w:val="002F2B0F"/>
    <w:rsid w:val="002F43E4"/>
    <w:rsid w:val="002F4431"/>
    <w:rsid w:val="002F4AA9"/>
    <w:rsid w:val="002F4D54"/>
    <w:rsid w:val="002F52DC"/>
    <w:rsid w:val="002F5B6A"/>
    <w:rsid w:val="002F6859"/>
    <w:rsid w:val="002F6E39"/>
    <w:rsid w:val="002F744F"/>
    <w:rsid w:val="0030007E"/>
    <w:rsid w:val="00300C66"/>
    <w:rsid w:val="00300C6F"/>
    <w:rsid w:val="00300F43"/>
    <w:rsid w:val="0030223F"/>
    <w:rsid w:val="00302D2D"/>
    <w:rsid w:val="00303381"/>
    <w:rsid w:val="00303792"/>
    <w:rsid w:val="003037E9"/>
    <w:rsid w:val="00305300"/>
    <w:rsid w:val="00305C57"/>
    <w:rsid w:val="003063B8"/>
    <w:rsid w:val="00306CBB"/>
    <w:rsid w:val="003074B9"/>
    <w:rsid w:val="00307CBE"/>
    <w:rsid w:val="0031102A"/>
    <w:rsid w:val="003112E2"/>
    <w:rsid w:val="003124C0"/>
    <w:rsid w:val="00312695"/>
    <w:rsid w:val="00312BAB"/>
    <w:rsid w:val="003130D9"/>
    <w:rsid w:val="00313DBD"/>
    <w:rsid w:val="00314486"/>
    <w:rsid w:val="0031458E"/>
    <w:rsid w:val="00314960"/>
    <w:rsid w:val="00314AFE"/>
    <w:rsid w:val="00314E3B"/>
    <w:rsid w:val="003167F0"/>
    <w:rsid w:val="00316F0C"/>
    <w:rsid w:val="0031735E"/>
    <w:rsid w:val="00320A6E"/>
    <w:rsid w:val="00321C12"/>
    <w:rsid w:val="003221C2"/>
    <w:rsid w:val="00322567"/>
    <w:rsid w:val="0032286B"/>
    <w:rsid w:val="00322A6E"/>
    <w:rsid w:val="00322E8E"/>
    <w:rsid w:val="003231E4"/>
    <w:rsid w:val="00323269"/>
    <w:rsid w:val="003232F1"/>
    <w:rsid w:val="003233E3"/>
    <w:rsid w:val="0032389C"/>
    <w:rsid w:val="0032442E"/>
    <w:rsid w:val="00324585"/>
    <w:rsid w:val="00324A2C"/>
    <w:rsid w:val="00324EAC"/>
    <w:rsid w:val="0032575D"/>
    <w:rsid w:val="00330840"/>
    <w:rsid w:val="00332492"/>
    <w:rsid w:val="00332B2D"/>
    <w:rsid w:val="00332CF2"/>
    <w:rsid w:val="00332FB4"/>
    <w:rsid w:val="00333E68"/>
    <w:rsid w:val="00333EDC"/>
    <w:rsid w:val="003344CF"/>
    <w:rsid w:val="003344FE"/>
    <w:rsid w:val="00335EFD"/>
    <w:rsid w:val="00336468"/>
    <w:rsid w:val="003369E7"/>
    <w:rsid w:val="003371A5"/>
    <w:rsid w:val="00337533"/>
    <w:rsid w:val="00337C38"/>
    <w:rsid w:val="003416FA"/>
    <w:rsid w:val="0034182B"/>
    <w:rsid w:val="0034195A"/>
    <w:rsid w:val="00342525"/>
    <w:rsid w:val="003428C6"/>
    <w:rsid w:val="00342FCD"/>
    <w:rsid w:val="00343144"/>
    <w:rsid w:val="00343671"/>
    <w:rsid w:val="003443A9"/>
    <w:rsid w:val="0034493C"/>
    <w:rsid w:val="00345482"/>
    <w:rsid w:val="00345961"/>
    <w:rsid w:val="00346F16"/>
    <w:rsid w:val="00347C33"/>
    <w:rsid w:val="0035045C"/>
    <w:rsid w:val="0035075F"/>
    <w:rsid w:val="00350B38"/>
    <w:rsid w:val="00351388"/>
    <w:rsid w:val="00352F0B"/>
    <w:rsid w:val="00352FC6"/>
    <w:rsid w:val="00354761"/>
    <w:rsid w:val="003553AE"/>
    <w:rsid w:val="0035598E"/>
    <w:rsid w:val="003568D5"/>
    <w:rsid w:val="00356919"/>
    <w:rsid w:val="00357240"/>
    <w:rsid w:val="003578B5"/>
    <w:rsid w:val="00357C39"/>
    <w:rsid w:val="00357ED9"/>
    <w:rsid w:val="00357F2D"/>
    <w:rsid w:val="00360113"/>
    <w:rsid w:val="0036013E"/>
    <w:rsid w:val="003606FA"/>
    <w:rsid w:val="003621F9"/>
    <w:rsid w:val="00362A76"/>
    <w:rsid w:val="00362C09"/>
    <w:rsid w:val="00363D9A"/>
    <w:rsid w:val="00364358"/>
    <w:rsid w:val="00364B60"/>
    <w:rsid w:val="003655FB"/>
    <w:rsid w:val="00366182"/>
    <w:rsid w:val="00366322"/>
    <w:rsid w:val="00366376"/>
    <w:rsid w:val="00366583"/>
    <w:rsid w:val="00366759"/>
    <w:rsid w:val="00366A92"/>
    <w:rsid w:val="003670E6"/>
    <w:rsid w:val="00367783"/>
    <w:rsid w:val="003703A6"/>
    <w:rsid w:val="00370841"/>
    <w:rsid w:val="00372603"/>
    <w:rsid w:val="00372768"/>
    <w:rsid w:val="003727AF"/>
    <w:rsid w:val="003732DA"/>
    <w:rsid w:val="00373D3C"/>
    <w:rsid w:val="00374A19"/>
    <w:rsid w:val="0037537C"/>
    <w:rsid w:val="00375E32"/>
    <w:rsid w:val="003764AB"/>
    <w:rsid w:val="00380CBF"/>
    <w:rsid w:val="00380E79"/>
    <w:rsid w:val="003823FF"/>
    <w:rsid w:val="0038258B"/>
    <w:rsid w:val="00382F6C"/>
    <w:rsid w:val="00383210"/>
    <w:rsid w:val="00383253"/>
    <w:rsid w:val="003836BE"/>
    <w:rsid w:val="0038387F"/>
    <w:rsid w:val="00383B07"/>
    <w:rsid w:val="00385D1C"/>
    <w:rsid w:val="00390353"/>
    <w:rsid w:val="00390477"/>
    <w:rsid w:val="00390734"/>
    <w:rsid w:val="00390FAF"/>
    <w:rsid w:val="0039221C"/>
    <w:rsid w:val="0039258C"/>
    <w:rsid w:val="00392717"/>
    <w:rsid w:val="003933D2"/>
    <w:rsid w:val="00393B16"/>
    <w:rsid w:val="00393D8D"/>
    <w:rsid w:val="003946C8"/>
    <w:rsid w:val="00394E3E"/>
    <w:rsid w:val="00395124"/>
    <w:rsid w:val="00395A53"/>
    <w:rsid w:val="00395C6D"/>
    <w:rsid w:val="003962A1"/>
    <w:rsid w:val="003963F8"/>
    <w:rsid w:val="00396AE3"/>
    <w:rsid w:val="00396F09"/>
    <w:rsid w:val="00397348"/>
    <w:rsid w:val="00397A3C"/>
    <w:rsid w:val="00397CC2"/>
    <w:rsid w:val="00397F5E"/>
    <w:rsid w:val="003A034D"/>
    <w:rsid w:val="003A152C"/>
    <w:rsid w:val="003A3B5F"/>
    <w:rsid w:val="003A3FE2"/>
    <w:rsid w:val="003A4564"/>
    <w:rsid w:val="003A48EB"/>
    <w:rsid w:val="003A4D8A"/>
    <w:rsid w:val="003A4DDA"/>
    <w:rsid w:val="003A4F92"/>
    <w:rsid w:val="003A5286"/>
    <w:rsid w:val="003A5A9D"/>
    <w:rsid w:val="003A6AA4"/>
    <w:rsid w:val="003A6C62"/>
    <w:rsid w:val="003A7836"/>
    <w:rsid w:val="003A7D3F"/>
    <w:rsid w:val="003B0D71"/>
    <w:rsid w:val="003B16DB"/>
    <w:rsid w:val="003B26AE"/>
    <w:rsid w:val="003B3075"/>
    <w:rsid w:val="003B32A3"/>
    <w:rsid w:val="003B429D"/>
    <w:rsid w:val="003B506D"/>
    <w:rsid w:val="003B54C3"/>
    <w:rsid w:val="003B54EE"/>
    <w:rsid w:val="003B5BFF"/>
    <w:rsid w:val="003B6296"/>
    <w:rsid w:val="003B68F2"/>
    <w:rsid w:val="003B776A"/>
    <w:rsid w:val="003B7929"/>
    <w:rsid w:val="003B7F9C"/>
    <w:rsid w:val="003C0948"/>
    <w:rsid w:val="003C0A9E"/>
    <w:rsid w:val="003C0E66"/>
    <w:rsid w:val="003C0EC1"/>
    <w:rsid w:val="003C1253"/>
    <w:rsid w:val="003C15A6"/>
    <w:rsid w:val="003C262B"/>
    <w:rsid w:val="003C279A"/>
    <w:rsid w:val="003C2E94"/>
    <w:rsid w:val="003C3059"/>
    <w:rsid w:val="003C4B56"/>
    <w:rsid w:val="003C4F1D"/>
    <w:rsid w:val="003C5533"/>
    <w:rsid w:val="003C56DE"/>
    <w:rsid w:val="003C5FAA"/>
    <w:rsid w:val="003C6DFC"/>
    <w:rsid w:val="003C6F92"/>
    <w:rsid w:val="003C70B0"/>
    <w:rsid w:val="003C70D6"/>
    <w:rsid w:val="003C71CA"/>
    <w:rsid w:val="003C7996"/>
    <w:rsid w:val="003C7B57"/>
    <w:rsid w:val="003D040D"/>
    <w:rsid w:val="003D11CF"/>
    <w:rsid w:val="003D14C5"/>
    <w:rsid w:val="003D21B0"/>
    <w:rsid w:val="003D32EE"/>
    <w:rsid w:val="003D3F42"/>
    <w:rsid w:val="003D4737"/>
    <w:rsid w:val="003D4F4D"/>
    <w:rsid w:val="003D5214"/>
    <w:rsid w:val="003D55D4"/>
    <w:rsid w:val="003D5DC9"/>
    <w:rsid w:val="003D5E4B"/>
    <w:rsid w:val="003D6276"/>
    <w:rsid w:val="003D67D7"/>
    <w:rsid w:val="003D7458"/>
    <w:rsid w:val="003D74BD"/>
    <w:rsid w:val="003E09AD"/>
    <w:rsid w:val="003E0FB0"/>
    <w:rsid w:val="003E13AA"/>
    <w:rsid w:val="003E2537"/>
    <w:rsid w:val="003E3856"/>
    <w:rsid w:val="003E4FC0"/>
    <w:rsid w:val="003E5350"/>
    <w:rsid w:val="003E5989"/>
    <w:rsid w:val="003E5D00"/>
    <w:rsid w:val="003E697D"/>
    <w:rsid w:val="003F02BE"/>
    <w:rsid w:val="003F0D8C"/>
    <w:rsid w:val="003F1598"/>
    <w:rsid w:val="003F1C42"/>
    <w:rsid w:val="003F2B7D"/>
    <w:rsid w:val="003F3214"/>
    <w:rsid w:val="003F4AFC"/>
    <w:rsid w:val="003F4DD8"/>
    <w:rsid w:val="003F5BA7"/>
    <w:rsid w:val="003F6069"/>
    <w:rsid w:val="003F6586"/>
    <w:rsid w:val="003F756A"/>
    <w:rsid w:val="003F7A22"/>
    <w:rsid w:val="003F7E2E"/>
    <w:rsid w:val="00400029"/>
    <w:rsid w:val="00403947"/>
    <w:rsid w:val="004039A0"/>
    <w:rsid w:val="004039C5"/>
    <w:rsid w:val="00403E66"/>
    <w:rsid w:val="00404B21"/>
    <w:rsid w:val="0040768F"/>
    <w:rsid w:val="00407777"/>
    <w:rsid w:val="0041021D"/>
    <w:rsid w:val="00410853"/>
    <w:rsid w:val="00410FD4"/>
    <w:rsid w:val="00411326"/>
    <w:rsid w:val="00411448"/>
    <w:rsid w:val="0041160B"/>
    <w:rsid w:val="00412799"/>
    <w:rsid w:val="00413DA0"/>
    <w:rsid w:val="00414032"/>
    <w:rsid w:val="00414564"/>
    <w:rsid w:val="00414D36"/>
    <w:rsid w:val="004151D4"/>
    <w:rsid w:val="00415D8F"/>
    <w:rsid w:val="00415D9B"/>
    <w:rsid w:val="00416693"/>
    <w:rsid w:val="00417EA8"/>
    <w:rsid w:val="00420616"/>
    <w:rsid w:val="00420B8B"/>
    <w:rsid w:val="00421DFF"/>
    <w:rsid w:val="00421FCA"/>
    <w:rsid w:val="00422252"/>
    <w:rsid w:val="00422EC0"/>
    <w:rsid w:val="00423FD4"/>
    <w:rsid w:val="004246E6"/>
    <w:rsid w:val="00424BAA"/>
    <w:rsid w:val="00424C87"/>
    <w:rsid w:val="00425210"/>
    <w:rsid w:val="00425AF2"/>
    <w:rsid w:val="0042681E"/>
    <w:rsid w:val="00427364"/>
    <w:rsid w:val="00427B80"/>
    <w:rsid w:val="004302D0"/>
    <w:rsid w:val="00430F93"/>
    <w:rsid w:val="00431B48"/>
    <w:rsid w:val="0043276B"/>
    <w:rsid w:val="00432B5B"/>
    <w:rsid w:val="00433CC8"/>
    <w:rsid w:val="00434002"/>
    <w:rsid w:val="004343DA"/>
    <w:rsid w:val="00434901"/>
    <w:rsid w:val="00435238"/>
    <w:rsid w:val="004353B0"/>
    <w:rsid w:val="00436583"/>
    <w:rsid w:val="00436EF5"/>
    <w:rsid w:val="00437C60"/>
    <w:rsid w:val="00440391"/>
    <w:rsid w:val="00440C35"/>
    <w:rsid w:val="00441195"/>
    <w:rsid w:val="00441382"/>
    <w:rsid w:val="00441B7E"/>
    <w:rsid w:val="00441C6E"/>
    <w:rsid w:val="00441D8C"/>
    <w:rsid w:val="00441D9F"/>
    <w:rsid w:val="0044316B"/>
    <w:rsid w:val="00443571"/>
    <w:rsid w:val="00444220"/>
    <w:rsid w:val="004449DA"/>
    <w:rsid w:val="00444BFD"/>
    <w:rsid w:val="00444E29"/>
    <w:rsid w:val="004451E6"/>
    <w:rsid w:val="0044619E"/>
    <w:rsid w:val="00446D00"/>
    <w:rsid w:val="00446F41"/>
    <w:rsid w:val="004475D3"/>
    <w:rsid w:val="00447D8F"/>
    <w:rsid w:val="004500C8"/>
    <w:rsid w:val="004504D0"/>
    <w:rsid w:val="00450699"/>
    <w:rsid w:val="00451104"/>
    <w:rsid w:val="00452153"/>
    <w:rsid w:val="0045251F"/>
    <w:rsid w:val="00453417"/>
    <w:rsid w:val="00453B05"/>
    <w:rsid w:val="004542E8"/>
    <w:rsid w:val="00454760"/>
    <w:rsid w:val="00454D50"/>
    <w:rsid w:val="00454F60"/>
    <w:rsid w:val="00455AA8"/>
    <w:rsid w:val="0045640A"/>
    <w:rsid w:val="00456A37"/>
    <w:rsid w:val="0045786E"/>
    <w:rsid w:val="00457BA1"/>
    <w:rsid w:val="00457FB9"/>
    <w:rsid w:val="00460726"/>
    <w:rsid w:val="00461EE9"/>
    <w:rsid w:val="00462441"/>
    <w:rsid w:val="0046266F"/>
    <w:rsid w:val="00462B2C"/>
    <w:rsid w:val="00462FD4"/>
    <w:rsid w:val="00463413"/>
    <w:rsid w:val="00464306"/>
    <w:rsid w:val="00464375"/>
    <w:rsid w:val="00465510"/>
    <w:rsid w:val="00465B96"/>
    <w:rsid w:val="00466A8D"/>
    <w:rsid w:val="00467C7B"/>
    <w:rsid w:val="00470777"/>
    <w:rsid w:val="00470BB1"/>
    <w:rsid w:val="00470C30"/>
    <w:rsid w:val="00474A09"/>
    <w:rsid w:val="00475CDC"/>
    <w:rsid w:val="00475F7C"/>
    <w:rsid w:val="0047638A"/>
    <w:rsid w:val="00476400"/>
    <w:rsid w:val="00476F7E"/>
    <w:rsid w:val="004779A4"/>
    <w:rsid w:val="00477B52"/>
    <w:rsid w:val="00477EF3"/>
    <w:rsid w:val="00480460"/>
    <w:rsid w:val="00481133"/>
    <w:rsid w:val="0048294B"/>
    <w:rsid w:val="00483513"/>
    <w:rsid w:val="004838AE"/>
    <w:rsid w:val="00484A48"/>
    <w:rsid w:val="00485AA6"/>
    <w:rsid w:val="0048701B"/>
    <w:rsid w:val="0048755B"/>
    <w:rsid w:val="004877F0"/>
    <w:rsid w:val="00487888"/>
    <w:rsid w:val="00487E92"/>
    <w:rsid w:val="00487FE8"/>
    <w:rsid w:val="00490203"/>
    <w:rsid w:val="004910AD"/>
    <w:rsid w:val="00491DB8"/>
    <w:rsid w:val="00491F3D"/>
    <w:rsid w:val="00492084"/>
    <w:rsid w:val="00492210"/>
    <w:rsid w:val="004927DC"/>
    <w:rsid w:val="00493FD6"/>
    <w:rsid w:val="00494D33"/>
    <w:rsid w:val="00494FF9"/>
    <w:rsid w:val="004954AE"/>
    <w:rsid w:val="0049551C"/>
    <w:rsid w:val="00495F94"/>
    <w:rsid w:val="004979D8"/>
    <w:rsid w:val="004A0007"/>
    <w:rsid w:val="004A18F0"/>
    <w:rsid w:val="004A1EF5"/>
    <w:rsid w:val="004A20FE"/>
    <w:rsid w:val="004A26BB"/>
    <w:rsid w:val="004A28F8"/>
    <w:rsid w:val="004A2B0C"/>
    <w:rsid w:val="004A2C5D"/>
    <w:rsid w:val="004A30A9"/>
    <w:rsid w:val="004A4128"/>
    <w:rsid w:val="004A46DE"/>
    <w:rsid w:val="004A5944"/>
    <w:rsid w:val="004A5A7E"/>
    <w:rsid w:val="004A6059"/>
    <w:rsid w:val="004A6129"/>
    <w:rsid w:val="004A68D7"/>
    <w:rsid w:val="004A6D4D"/>
    <w:rsid w:val="004A7109"/>
    <w:rsid w:val="004A72DB"/>
    <w:rsid w:val="004A74B7"/>
    <w:rsid w:val="004A788A"/>
    <w:rsid w:val="004B06F5"/>
    <w:rsid w:val="004B0AF1"/>
    <w:rsid w:val="004B1B71"/>
    <w:rsid w:val="004B21AF"/>
    <w:rsid w:val="004B28CC"/>
    <w:rsid w:val="004B2D16"/>
    <w:rsid w:val="004B3C2D"/>
    <w:rsid w:val="004B3C9B"/>
    <w:rsid w:val="004B4337"/>
    <w:rsid w:val="004B4F36"/>
    <w:rsid w:val="004B5050"/>
    <w:rsid w:val="004B5B1A"/>
    <w:rsid w:val="004C01C8"/>
    <w:rsid w:val="004C0262"/>
    <w:rsid w:val="004C1683"/>
    <w:rsid w:val="004C1ED2"/>
    <w:rsid w:val="004C2B67"/>
    <w:rsid w:val="004C2FA9"/>
    <w:rsid w:val="004C3236"/>
    <w:rsid w:val="004C38C9"/>
    <w:rsid w:val="004C4945"/>
    <w:rsid w:val="004C518A"/>
    <w:rsid w:val="004C53D8"/>
    <w:rsid w:val="004C550B"/>
    <w:rsid w:val="004C6B92"/>
    <w:rsid w:val="004C6D95"/>
    <w:rsid w:val="004C7D24"/>
    <w:rsid w:val="004D03BB"/>
    <w:rsid w:val="004D0D75"/>
    <w:rsid w:val="004D0DCB"/>
    <w:rsid w:val="004D0F2D"/>
    <w:rsid w:val="004D20F5"/>
    <w:rsid w:val="004D20FE"/>
    <w:rsid w:val="004D2311"/>
    <w:rsid w:val="004D2787"/>
    <w:rsid w:val="004D2F40"/>
    <w:rsid w:val="004D3C3F"/>
    <w:rsid w:val="004D50EF"/>
    <w:rsid w:val="004D53E3"/>
    <w:rsid w:val="004D736E"/>
    <w:rsid w:val="004D750A"/>
    <w:rsid w:val="004D7661"/>
    <w:rsid w:val="004D7D70"/>
    <w:rsid w:val="004E0DFB"/>
    <w:rsid w:val="004E1109"/>
    <w:rsid w:val="004E1A2D"/>
    <w:rsid w:val="004E2E0F"/>
    <w:rsid w:val="004E5119"/>
    <w:rsid w:val="004E53D1"/>
    <w:rsid w:val="004E5754"/>
    <w:rsid w:val="004E61CA"/>
    <w:rsid w:val="004E69E6"/>
    <w:rsid w:val="004E76B7"/>
    <w:rsid w:val="004F0081"/>
    <w:rsid w:val="004F0471"/>
    <w:rsid w:val="004F09A8"/>
    <w:rsid w:val="004F0CF0"/>
    <w:rsid w:val="004F147B"/>
    <w:rsid w:val="004F2045"/>
    <w:rsid w:val="004F2113"/>
    <w:rsid w:val="004F346C"/>
    <w:rsid w:val="004F41A9"/>
    <w:rsid w:val="004F46A6"/>
    <w:rsid w:val="004F4CAA"/>
    <w:rsid w:val="004F59C1"/>
    <w:rsid w:val="004F5D80"/>
    <w:rsid w:val="004F78F1"/>
    <w:rsid w:val="00500242"/>
    <w:rsid w:val="00501306"/>
    <w:rsid w:val="005018B7"/>
    <w:rsid w:val="00501E40"/>
    <w:rsid w:val="0050221D"/>
    <w:rsid w:val="00502286"/>
    <w:rsid w:val="0050499F"/>
    <w:rsid w:val="00504AB0"/>
    <w:rsid w:val="00505512"/>
    <w:rsid w:val="0050611E"/>
    <w:rsid w:val="005069B5"/>
    <w:rsid w:val="005077EF"/>
    <w:rsid w:val="00507A75"/>
    <w:rsid w:val="00507B13"/>
    <w:rsid w:val="00507B86"/>
    <w:rsid w:val="00507E0D"/>
    <w:rsid w:val="0051106F"/>
    <w:rsid w:val="00511A58"/>
    <w:rsid w:val="005120A4"/>
    <w:rsid w:val="005125CE"/>
    <w:rsid w:val="005127C7"/>
    <w:rsid w:val="005129C4"/>
    <w:rsid w:val="00512F25"/>
    <w:rsid w:val="0051589F"/>
    <w:rsid w:val="0051622B"/>
    <w:rsid w:val="0051659B"/>
    <w:rsid w:val="00516737"/>
    <w:rsid w:val="0051677C"/>
    <w:rsid w:val="0051684C"/>
    <w:rsid w:val="00516865"/>
    <w:rsid w:val="00517110"/>
    <w:rsid w:val="00517372"/>
    <w:rsid w:val="00517459"/>
    <w:rsid w:val="00517EC0"/>
    <w:rsid w:val="00520E8A"/>
    <w:rsid w:val="00521641"/>
    <w:rsid w:val="00522455"/>
    <w:rsid w:val="00522497"/>
    <w:rsid w:val="0052275F"/>
    <w:rsid w:val="005233B5"/>
    <w:rsid w:val="00523CD5"/>
    <w:rsid w:val="00524AA7"/>
    <w:rsid w:val="00524CD8"/>
    <w:rsid w:val="005254A2"/>
    <w:rsid w:val="00525705"/>
    <w:rsid w:val="0052587F"/>
    <w:rsid w:val="00525DB5"/>
    <w:rsid w:val="00526403"/>
    <w:rsid w:val="00526549"/>
    <w:rsid w:val="00526BF7"/>
    <w:rsid w:val="0052746A"/>
    <w:rsid w:val="00527C93"/>
    <w:rsid w:val="00527EE0"/>
    <w:rsid w:val="00530484"/>
    <w:rsid w:val="00531B6F"/>
    <w:rsid w:val="00531F32"/>
    <w:rsid w:val="00532B31"/>
    <w:rsid w:val="005332CC"/>
    <w:rsid w:val="00533624"/>
    <w:rsid w:val="0053443D"/>
    <w:rsid w:val="00534E0C"/>
    <w:rsid w:val="00535428"/>
    <w:rsid w:val="00535584"/>
    <w:rsid w:val="00535734"/>
    <w:rsid w:val="00535843"/>
    <w:rsid w:val="00535A79"/>
    <w:rsid w:val="00535BE6"/>
    <w:rsid w:val="005369AB"/>
    <w:rsid w:val="00536C13"/>
    <w:rsid w:val="00540445"/>
    <w:rsid w:val="005405E7"/>
    <w:rsid w:val="005405F4"/>
    <w:rsid w:val="00540710"/>
    <w:rsid w:val="00540A4E"/>
    <w:rsid w:val="00541777"/>
    <w:rsid w:val="00541C41"/>
    <w:rsid w:val="00541D2C"/>
    <w:rsid w:val="00542225"/>
    <w:rsid w:val="005426B9"/>
    <w:rsid w:val="00544C44"/>
    <w:rsid w:val="00544DED"/>
    <w:rsid w:val="0054550B"/>
    <w:rsid w:val="00546EC0"/>
    <w:rsid w:val="0054791B"/>
    <w:rsid w:val="00550118"/>
    <w:rsid w:val="005502EB"/>
    <w:rsid w:val="00550B8A"/>
    <w:rsid w:val="00551359"/>
    <w:rsid w:val="005519AC"/>
    <w:rsid w:val="00552083"/>
    <w:rsid w:val="00552B00"/>
    <w:rsid w:val="00552B05"/>
    <w:rsid w:val="00553F01"/>
    <w:rsid w:val="0055462F"/>
    <w:rsid w:val="005547F0"/>
    <w:rsid w:val="005554AB"/>
    <w:rsid w:val="00555B4C"/>
    <w:rsid w:val="005565C0"/>
    <w:rsid w:val="005572A6"/>
    <w:rsid w:val="00560B54"/>
    <w:rsid w:val="00560F91"/>
    <w:rsid w:val="00561252"/>
    <w:rsid w:val="005616AB"/>
    <w:rsid w:val="00561CB9"/>
    <w:rsid w:val="00561CC6"/>
    <w:rsid w:val="00562FA1"/>
    <w:rsid w:val="00563086"/>
    <w:rsid w:val="0056402F"/>
    <w:rsid w:val="00564894"/>
    <w:rsid w:val="00565462"/>
    <w:rsid w:val="00566EDA"/>
    <w:rsid w:val="00567943"/>
    <w:rsid w:val="00570CAD"/>
    <w:rsid w:val="00571ABC"/>
    <w:rsid w:val="00572038"/>
    <w:rsid w:val="005745E6"/>
    <w:rsid w:val="00574990"/>
    <w:rsid w:val="00574E3D"/>
    <w:rsid w:val="00575073"/>
    <w:rsid w:val="005755CB"/>
    <w:rsid w:val="00575C00"/>
    <w:rsid w:val="00575DD2"/>
    <w:rsid w:val="005762F8"/>
    <w:rsid w:val="0057652C"/>
    <w:rsid w:val="0058016C"/>
    <w:rsid w:val="00580CCC"/>
    <w:rsid w:val="00580E83"/>
    <w:rsid w:val="0058175F"/>
    <w:rsid w:val="005817C8"/>
    <w:rsid w:val="005818B3"/>
    <w:rsid w:val="00582012"/>
    <w:rsid w:val="00582B64"/>
    <w:rsid w:val="00582B7C"/>
    <w:rsid w:val="00584206"/>
    <w:rsid w:val="005848B5"/>
    <w:rsid w:val="005873F8"/>
    <w:rsid w:val="00587AD6"/>
    <w:rsid w:val="00587E74"/>
    <w:rsid w:val="00587EAF"/>
    <w:rsid w:val="0059021A"/>
    <w:rsid w:val="005907A6"/>
    <w:rsid w:val="00590B22"/>
    <w:rsid w:val="00590C81"/>
    <w:rsid w:val="00591B0F"/>
    <w:rsid w:val="00591F3C"/>
    <w:rsid w:val="00592318"/>
    <w:rsid w:val="0059254F"/>
    <w:rsid w:val="00593220"/>
    <w:rsid w:val="0059324F"/>
    <w:rsid w:val="0059393C"/>
    <w:rsid w:val="00593D03"/>
    <w:rsid w:val="00593D5C"/>
    <w:rsid w:val="00594116"/>
    <w:rsid w:val="005944C6"/>
    <w:rsid w:val="00595807"/>
    <w:rsid w:val="00595A7D"/>
    <w:rsid w:val="00597D90"/>
    <w:rsid w:val="005A084B"/>
    <w:rsid w:val="005A0E26"/>
    <w:rsid w:val="005A1D9A"/>
    <w:rsid w:val="005A30FA"/>
    <w:rsid w:val="005A3136"/>
    <w:rsid w:val="005A36AF"/>
    <w:rsid w:val="005A3F98"/>
    <w:rsid w:val="005A3FDB"/>
    <w:rsid w:val="005A4AD3"/>
    <w:rsid w:val="005A4E60"/>
    <w:rsid w:val="005A54A8"/>
    <w:rsid w:val="005A5B48"/>
    <w:rsid w:val="005A5F0D"/>
    <w:rsid w:val="005A67EE"/>
    <w:rsid w:val="005A6B09"/>
    <w:rsid w:val="005A6BB7"/>
    <w:rsid w:val="005A6C72"/>
    <w:rsid w:val="005A75E0"/>
    <w:rsid w:val="005A75FF"/>
    <w:rsid w:val="005A769B"/>
    <w:rsid w:val="005A776C"/>
    <w:rsid w:val="005B0AD2"/>
    <w:rsid w:val="005B0B36"/>
    <w:rsid w:val="005B1132"/>
    <w:rsid w:val="005B1912"/>
    <w:rsid w:val="005B1C85"/>
    <w:rsid w:val="005B23E3"/>
    <w:rsid w:val="005B2508"/>
    <w:rsid w:val="005B3DE0"/>
    <w:rsid w:val="005B3EC8"/>
    <w:rsid w:val="005B4CB7"/>
    <w:rsid w:val="005B4E07"/>
    <w:rsid w:val="005B4F8B"/>
    <w:rsid w:val="005B55FF"/>
    <w:rsid w:val="005B563F"/>
    <w:rsid w:val="005B6DFF"/>
    <w:rsid w:val="005B7566"/>
    <w:rsid w:val="005C15F1"/>
    <w:rsid w:val="005C1811"/>
    <w:rsid w:val="005C1AF5"/>
    <w:rsid w:val="005C1E1C"/>
    <w:rsid w:val="005C32B5"/>
    <w:rsid w:val="005C3567"/>
    <w:rsid w:val="005C4C37"/>
    <w:rsid w:val="005C4CC1"/>
    <w:rsid w:val="005C5A1D"/>
    <w:rsid w:val="005C5CD3"/>
    <w:rsid w:val="005C6CFC"/>
    <w:rsid w:val="005C6DD3"/>
    <w:rsid w:val="005C7D9A"/>
    <w:rsid w:val="005D11CD"/>
    <w:rsid w:val="005D13D9"/>
    <w:rsid w:val="005D1FD5"/>
    <w:rsid w:val="005D3B6A"/>
    <w:rsid w:val="005D419D"/>
    <w:rsid w:val="005D47D6"/>
    <w:rsid w:val="005D6329"/>
    <w:rsid w:val="005D790A"/>
    <w:rsid w:val="005D7ED1"/>
    <w:rsid w:val="005E022E"/>
    <w:rsid w:val="005E08D3"/>
    <w:rsid w:val="005E0F7C"/>
    <w:rsid w:val="005E1E84"/>
    <w:rsid w:val="005E2279"/>
    <w:rsid w:val="005E24CB"/>
    <w:rsid w:val="005E25FA"/>
    <w:rsid w:val="005E34AF"/>
    <w:rsid w:val="005E483F"/>
    <w:rsid w:val="005E5025"/>
    <w:rsid w:val="005E5488"/>
    <w:rsid w:val="005E54D6"/>
    <w:rsid w:val="005E5BB7"/>
    <w:rsid w:val="005E76B8"/>
    <w:rsid w:val="005F0A62"/>
    <w:rsid w:val="005F0C8D"/>
    <w:rsid w:val="005F10DF"/>
    <w:rsid w:val="005F1E84"/>
    <w:rsid w:val="005F4E85"/>
    <w:rsid w:val="005F5099"/>
    <w:rsid w:val="005F5222"/>
    <w:rsid w:val="005F5259"/>
    <w:rsid w:val="005F59AE"/>
    <w:rsid w:val="005F5A1E"/>
    <w:rsid w:val="005F611D"/>
    <w:rsid w:val="005F655F"/>
    <w:rsid w:val="005F693C"/>
    <w:rsid w:val="005F6A36"/>
    <w:rsid w:val="005F78FD"/>
    <w:rsid w:val="006003CF"/>
    <w:rsid w:val="006010E6"/>
    <w:rsid w:val="0060173B"/>
    <w:rsid w:val="006019FE"/>
    <w:rsid w:val="00601A86"/>
    <w:rsid w:val="00601C82"/>
    <w:rsid w:val="0060238B"/>
    <w:rsid w:val="006025E6"/>
    <w:rsid w:val="00602606"/>
    <w:rsid w:val="006032DB"/>
    <w:rsid w:val="00603945"/>
    <w:rsid w:val="00605212"/>
    <w:rsid w:val="0060739B"/>
    <w:rsid w:val="006102DC"/>
    <w:rsid w:val="00610888"/>
    <w:rsid w:val="0061105E"/>
    <w:rsid w:val="00611AE2"/>
    <w:rsid w:val="0061218C"/>
    <w:rsid w:val="00612BC0"/>
    <w:rsid w:val="00612EAA"/>
    <w:rsid w:val="0061366A"/>
    <w:rsid w:val="0061395F"/>
    <w:rsid w:val="00614269"/>
    <w:rsid w:val="006149E4"/>
    <w:rsid w:val="00614AAD"/>
    <w:rsid w:val="0061519E"/>
    <w:rsid w:val="00616072"/>
    <w:rsid w:val="00616F85"/>
    <w:rsid w:val="00616F8A"/>
    <w:rsid w:val="006175AF"/>
    <w:rsid w:val="006175CA"/>
    <w:rsid w:val="00617F77"/>
    <w:rsid w:val="00620009"/>
    <w:rsid w:val="006205F6"/>
    <w:rsid w:val="00620FB5"/>
    <w:rsid w:val="00621B3C"/>
    <w:rsid w:val="006220E0"/>
    <w:rsid w:val="006223EC"/>
    <w:rsid w:val="00622597"/>
    <w:rsid w:val="00622C24"/>
    <w:rsid w:val="00623378"/>
    <w:rsid w:val="0062385F"/>
    <w:rsid w:val="00623C1A"/>
    <w:rsid w:val="00623E9F"/>
    <w:rsid w:val="00624CC0"/>
    <w:rsid w:val="00624D12"/>
    <w:rsid w:val="0062506E"/>
    <w:rsid w:val="00626432"/>
    <w:rsid w:val="00626B62"/>
    <w:rsid w:val="00626B63"/>
    <w:rsid w:val="00626CC7"/>
    <w:rsid w:val="00626FC4"/>
    <w:rsid w:val="006275A1"/>
    <w:rsid w:val="00627BC3"/>
    <w:rsid w:val="006301E0"/>
    <w:rsid w:val="006306E7"/>
    <w:rsid w:val="00630CC9"/>
    <w:rsid w:val="00630EB3"/>
    <w:rsid w:val="00630FFD"/>
    <w:rsid w:val="0063186F"/>
    <w:rsid w:val="00631AEB"/>
    <w:rsid w:val="00632075"/>
    <w:rsid w:val="00632480"/>
    <w:rsid w:val="00632638"/>
    <w:rsid w:val="00632804"/>
    <w:rsid w:val="0063341B"/>
    <w:rsid w:val="00633436"/>
    <w:rsid w:val="006335B0"/>
    <w:rsid w:val="00633739"/>
    <w:rsid w:val="00633B61"/>
    <w:rsid w:val="00634360"/>
    <w:rsid w:val="00634436"/>
    <w:rsid w:val="00634573"/>
    <w:rsid w:val="00634EFE"/>
    <w:rsid w:val="00634F34"/>
    <w:rsid w:val="0063556E"/>
    <w:rsid w:val="0063595A"/>
    <w:rsid w:val="00635AEA"/>
    <w:rsid w:val="00635BD6"/>
    <w:rsid w:val="00636CBD"/>
    <w:rsid w:val="00637226"/>
    <w:rsid w:val="00637A77"/>
    <w:rsid w:val="006408ED"/>
    <w:rsid w:val="006411A0"/>
    <w:rsid w:val="00641581"/>
    <w:rsid w:val="006419F7"/>
    <w:rsid w:val="00641F6E"/>
    <w:rsid w:val="00642313"/>
    <w:rsid w:val="0064259E"/>
    <w:rsid w:val="00645595"/>
    <w:rsid w:val="00646190"/>
    <w:rsid w:val="00646459"/>
    <w:rsid w:val="006464A8"/>
    <w:rsid w:val="006465AF"/>
    <w:rsid w:val="00646912"/>
    <w:rsid w:val="00646920"/>
    <w:rsid w:val="00646F70"/>
    <w:rsid w:val="0064770C"/>
    <w:rsid w:val="00647DAF"/>
    <w:rsid w:val="006502FF"/>
    <w:rsid w:val="006508FA"/>
    <w:rsid w:val="00650FD7"/>
    <w:rsid w:val="006512A3"/>
    <w:rsid w:val="0065192D"/>
    <w:rsid w:val="00651FFA"/>
    <w:rsid w:val="00652517"/>
    <w:rsid w:val="006545DB"/>
    <w:rsid w:val="0065468B"/>
    <w:rsid w:val="00656DF4"/>
    <w:rsid w:val="00657336"/>
    <w:rsid w:val="00661085"/>
    <w:rsid w:val="00661381"/>
    <w:rsid w:val="00662226"/>
    <w:rsid w:val="006624EA"/>
    <w:rsid w:val="006634F2"/>
    <w:rsid w:val="00664343"/>
    <w:rsid w:val="00665708"/>
    <w:rsid w:val="00665746"/>
    <w:rsid w:val="0066593B"/>
    <w:rsid w:val="00665C70"/>
    <w:rsid w:val="00666F4A"/>
    <w:rsid w:val="00667D17"/>
    <w:rsid w:val="006706A0"/>
    <w:rsid w:val="0067120E"/>
    <w:rsid w:val="00671ADE"/>
    <w:rsid w:val="00671DC8"/>
    <w:rsid w:val="00672CE9"/>
    <w:rsid w:val="00675DA5"/>
    <w:rsid w:val="00677788"/>
    <w:rsid w:val="00677A0D"/>
    <w:rsid w:val="006803FC"/>
    <w:rsid w:val="00680B67"/>
    <w:rsid w:val="00680FD3"/>
    <w:rsid w:val="00680FE3"/>
    <w:rsid w:val="0068109A"/>
    <w:rsid w:val="006817C8"/>
    <w:rsid w:val="00681CA7"/>
    <w:rsid w:val="0068326A"/>
    <w:rsid w:val="00683284"/>
    <w:rsid w:val="00683659"/>
    <w:rsid w:val="00683A2B"/>
    <w:rsid w:val="00683A42"/>
    <w:rsid w:val="00684695"/>
    <w:rsid w:val="00685C41"/>
    <w:rsid w:val="006863F8"/>
    <w:rsid w:val="00686CA2"/>
    <w:rsid w:val="0068723E"/>
    <w:rsid w:val="00687D08"/>
    <w:rsid w:val="00690763"/>
    <w:rsid w:val="0069091A"/>
    <w:rsid w:val="00690F63"/>
    <w:rsid w:val="0069104A"/>
    <w:rsid w:val="00691448"/>
    <w:rsid w:val="00691FCB"/>
    <w:rsid w:val="0069268A"/>
    <w:rsid w:val="0069343F"/>
    <w:rsid w:val="00694092"/>
    <w:rsid w:val="0069451F"/>
    <w:rsid w:val="0069495C"/>
    <w:rsid w:val="00694D5C"/>
    <w:rsid w:val="00694D6D"/>
    <w:rsid w:val="00695D63"/>
    <w:rsid w:val="00695DCC"/>
    <w:rsid w:val="00696025"/>
    <w:rsid w:val="006970E6"/>
    <w:rsid w:val="006A26D3"/>
    <w:rsid w:val="006A2931"/>
    <w:rsid w:val="006A340F"/>
    <w:rsid w:val="006A36B2"/>
    <w:rsid w:val="006A3D84"/>
    <w:rsid w:val="006A4474"/>
    <w:rsid w:val="006A56A1"/>
    <w:rsid w:val="006A5DA1"/>
    <w:rsid w:val="006A62D5"/>
    <w:rsid w:val="006A62DF"/>
    <w:rsid w:val="006A641F"/>
    <w:rsid w:val="006A7BE1"/>
    <w:rsid w:val="006A7D0E"/>
    <w:rsid w:val="006A7D22"/>
    <w:rsid w:val="006B087B"/>
    <w:rsid w:val="006B0A6C"/>
    <w:rsid w:val="006B118A"/>
    <w:rsid w:val="006B12F6"/>
    <w:rsid w:val="006B1A7B"/>
    <w:rsid w:val="006B1F10"/>
    <w:rsid w:val="006B26DE"/>
    <w:rsid w:val="006B2730"/>
    <w:rsid w:val="006B353C"/>
    <w:rsid w:val="006B36B1"/>
    <w:rsid w:val="006B3E36"/>
    <w:rsid w:val="006B4911"/>
    <w:rsid w:val="006B4F61"/>
    <w:rsid w:val="006B58CD"/>
    <w:rsid w:val="006B5E92"/>
    <w:rsid w:val="006B6813"/>
    <w:rsid w:val="006B698E"/>
    <w:rsid w:val="006B782B"/>
    <w:rsid w:val="006C0461"/>
    <w:rsid w:val="006C0E28"/>
    <w:rsid w:val="006C1960"/>
    <w:rsid w:val="006C1A7E"/>
    <w:rsid w:val="006C1AD8"/>
    <w:rsid w:val="006C2057"/>
    <w:rsid w:val="006C2098"/>
    <w:rsid w:val="006C3458"/>
    <w:rsid w:val="006C3485"/>
    <w:rsid w:val="006C3B91"/>
    <w:rsid w:val="006C485E"/>
    <w:rsid w:val="006C5F53"/>
    <w:rsid w:val="006C6424"/>
    <w:rsid w:val="006C64DE"/>
    <w:rsid w:val="006C6B82"/>
    <w:rsid w:val="006C6BB9"/>
    <w:rsid w:val="006C6C4F"/>
    <w:rsid w:val="006C7A25"/>
    <w:rsid w:val="006C7AC4"/>
    <w:rsid w:val="006C7B62"/>
    <w:rsid w:val="006C7CF5"/>
    <w:rsid w:val="006D06DA"/>
    <w:rsid w:val="006D2D3B"/>
    <w:rsid w:val="006D32F9"/>
    <w:rsid w:val="006D363A"/>
    <w:rsid w:val="006D506B"/>
    <w:rsid w:val="006D5596"/>
    <w:rsid w:val="006D5B88"/>
    <w:rsid w:val="006D6472"/>
    <w:rsid w:val="006D6E03"/>
    <w:rsid w:val="006D78B1"/>
    <w:rsid w:val="006D7E3D"/>
    <w:rsid w:val="006E0357"/>
    <w:rsid w:val="006E0727"/>
    <w:rsid w:val="006E1AD5"/>
    <w:rsid w:val="006E304E"/>
    <w:rsid w:val="006E35B0"/>
    <w:rsid w:val="006E387F"/>
    <w:rsid w:val="006E452E"/>
    <w:rsid w:val="006E4D15"/>
    <w:rsid w:val="006E57EF"/>
    <w:rsid w:val="006E594D"/>
    <w:rsid w:val="006E5D05"/>
    <w:rsid w:val="006E6578"/>
    <w:rsid w:val="006E65A0"/>
    <w:rsid w:val="006E7167"/>
    <w:rsid w:val="006E7372"/>
    <w:rsid w:val="006E766B"/>
    <w:rsid w:val="006E77CA"/>
    <w:rsid w:val="006E7C9A"/>
    <w:rsid w:val="006F0230"/>
    <w:rsid w:val="006F0704"/>
    <w:rsid w:val="006F15CC"/>
    <w:rsid w:val="006F1876"/>
    <w:rsid w:val="006F255B"/>
    <w:rsid w:val="006F36C4"/>
    <w:rsid w:val="006F39BB"/>
    <w:rsid w:val="006F3A53"/>
    <w:rsid w:val="006F441C"/>
    <w:rsid w:val="006F5256"/>
    <w:rsid w:val="006F5818"/>
    <w:rsid w:val="006F5C8F"/>
    <w:rsid w:val="006F6900"/>
    <w:rsid w:val="006F72B3"/>
    <w:rsid w:val="006F72D1"/>
    <w:rsid w:val="006F756D"/>
    <w:rsid w:val="007003BD"/>
    <w:rsid w:val="00701C43"/>
    <w:rsid w:val="00701E5B"/>
    <w:rsid w:val="00702033"/>
    <w:rsid w:val="00702843"/>
    <w:rsid w:val="00702D45"/>
    <w:rsid w:val="0070458B"/>
    <w:rsid w:val="0070488D"/>
    <w:rsid w:val="00704C51"/>
    <w:rsid w:val="00704FD7"/>
    <w:rsid w:val="00706B39"/>
    <w:rsid w:val="00706D05"/>
    <w:rsid w:val="007073CE"/>
    <w:rsid w:val="00707466"/>
    <w:rsid w:val="007074E3"/>
    <w:rsid w:val="00707B9A"/>
    <w:rsid w:val="00707C71"/>
    <w:rsid w:val="0071111C"/>
    <w:rsid w:val="0071161D"/>
    <w:rsid w:val="007120BD"/>
    <w:rsid w:val="00712AB1"/>
    <w:rsid w:val="0071300A"/>
    <w:rsid w:val="00714171"/>
    <w:rsid w:val="007163BB"/>
    <w:rsid w:val="00717153"/>
    <w:rsid w:val="0071782F"/>
    <w:rsid w:val="007211BB"/>
    <w:rsid w:val="00721787"/>
    <w:rsid w:val="007221E8"/>
    <w:rsid w:val="007222A8"/>
    <w:rsid w:val="007230F4"/>
    <w:rsid w:val="0072370C"/>
    <w:rsid w:val="007242E5"/>
    <w:rsid w:val="007248A0"/>
    <w:rsid w:val="007255D8"/>
    <w:rsid w:val="00725FE4"/>
    <w:rsid w:val="00726112"/>
    <w:rsid w:val="00727691"/>
    <w:rsid w:val="0073051C"/>
    <w:rsid w:val="007306CC"/>
    <w:rsid w:val="00731087"/>
    <w:rsid w:val="00731579"/>
    <w:rsid w:val="007317A2"/>
    <w:rsid w:val="00731E9B"/>
    <w:rsid w:val="007323AA"/>
    <w:rsid w:val="00732581"/>
    <w:rsid w:val="00732843"/>
    <w:rsid w:val="007340F9"/>
    <w:rsid w:val="007347E2"/>
    <w:rsid w:val="0073512D"/>
    <w:rsid w:val="00735CB4"/>
    <w:rsid w:val="007365FA"/>
    <w:rsid w:val="00737280"/>
    <w:rsid w:val="00737696"/>
    <w:rsid w:val="007376E4"/>
    <w:rsid w:val="007403BC"/>
    <w:rsid w:val="0074068D"/>
    <w:rsid w:val="0074076B"/>
    <w:rsid w:val="00740FBA"/>
    <w:rsid w:val="00741424"/>
    <w:rsid w:val="00741463"/>
    <w:rsid w:val="0074256F"/>
    <w:rsid w:val="00742B97"/>
    <w:rsid w:val="00743B6B"/>
    <w:rsid w:val="007444BC"/>
    <w:rsid w:val="00744666"/>
    <w:rsid w:val="0074479F"/>
    <w:rsid w:val="0074588A"/>
    <w:rsid w:val="00745C2B"/>
    <w:rsid w:val="007461BD"/>
    <w:rsid w:val="007475A3"/>
    <w:rsid w:val="007510D8"/>
    <w:rsid w:val="007519CC"/>
    <w:rsid w:val="0075276A"/>
    <w:rsid w:val="00752C43"/>
    <w:rsid w:val="00753325"/>
    <w:rsid w:val="00753E59"/>
    <w:rsid w:val="00754270"/>
    <w:rsid w:val="007549FC"/>
    <w:rsid w:val="00755E76"/>
    <w:rsid w:val="007560F5"/>
    <w:rsid w:val="00756B68"/>
    <w:rsid w:val="007572FA"/>
    <w:rsid w:val="00757726"/>
    <w:rsid w:val="00757FD7"/>
    <w:rsid w:val="00760245"/>
    <w:rsid w:val="0076078C"/>
    <w:rsid w:val="00760CDF"/>
    <w:rsid w:val="00761928"/>
    <w:rsid w:val="00761CB3"/>
    <w:rsid w:val="00761D8F"/>
    <w:rsid w:val="00761FB3"/>
    <w:rsid w:val="00762076"/>
    <w:rsid w:val="0076271A"/>
    <w:rsid w:val="007627C9"/>
    <w:rsid w:val="00762B59"/>
    <w:rsid w:val="00762D4B"/>
    <w:rsid w:val="00762DD5"/>
    <w:rsid w:val="00762FA1"/>
    <w:rsid w:val="007634E3"/>
    <w:rsid w:val="00763940"/>
    <w:rsid w:val="00763A3F"/>
    <w:rsid w:val="00764078"/>
    <w:rsid w:val="00764201"/>
    <w:rsid w:val="00764889"/>
    <w:rsid w:val="0076495E"/>
    <w:rsid w:val="00764D72"/>
    <w:rsid w:val="00765111"/>
    <w:rsid w:val="00766FFE"/>
    <w:rsid w:val="0076700B"/>
    <w:rsid w:val="0076762F"/>
    <w:rsid w:val="00767E7A"/>
    <w:rsid w:val="00767EC6"/>
    <w:rsid w:val="0077004D"/>
    <w:rsid w:val="007710C0"/>
    <w:rsid w:val="007711AA"/>
    <w:rsid w:val="00771AD3"/>
    <w:rsid w:val="007721B2"/>
    <w:rsid w:val="007727AD"/>
    <w:rsid w:val="007728CF"/>
    <w:rsid w:val="007729DC"/>
    <w:rsid w:val="00772B1E"/>
    <w:rsid w:val="00772BB9"/>
    <w:rsid w:val="00773186"/>
    <w:rsid w:val="00773591"/>
    <w:rsid w:val="00774AA0"/>
    <w:rsid w:val="0077507C"/>
    <w:rsid w:val="007751D8"/>
    <w:rsid w:val="00775DB6"/>
    <w:rsid w:val="00776725"/>
    <w:rsid w:val="007767A2"/>
    <w:rsid w:val="00777414"/>
    <w:rsid w:val="007779DD"/>
    <w:rsid w:val="0078002F"/>
    <w:rsid w:val="00780B56"/>
    <w:rsid w:val="007821EF"/>
    <w:rsid w:val="007828EF"/>
    <w:rsid w:val="00783FA2"/>
    <w:rsid w:val="00784E70"/>
    <w:rsid w:val="00785207"/>
    <w:rsid w:val="00785556"/>
    <w:rsid w:val="007863BA"/>
    <w:rsid w:val="007863EF"/>
    <w:rsid w:val="00786C45"/>
    <w:rsid w:val="007870DB"/>
    <w:rsid w:val="0079040B"/>
    <w:rsid w:val="0079073D"/>
    <w:rsid w:val="0079172A"/>
    <w:rsid w:val="00791CF1"/>
    <w:rsid w:val="00791ECD"/>
    <w:rsid w:val="00792D59"/>
    <w:rsid w:val="00792F72"/>
    <w:rsid w:val="00793421"/>
    <w:rsid w:val="00795940"/>
    <w:rsid w:val="0079610E"/>
    <w:rsid w:val="00796A3E"/>
    <w:rsid w:val="00796CB5"/>
    <w:rsid w:val="00797C85"/>
    <w:rsid w:val="00797D54"/>
    <w:rsid w:val="007A04DC"/>
    <w:rsid w:val="007A0B10"/>
    <w:rsid w:val="007A1A7A"/>
    <w:rsid w:val="007A2AF2"/>
    <w:rsid w:val="007A2D78"/>
    <w:rsid w:val="007A39A9"/>
    <w:rsid w:val="007A4317"/>
    <w:rsid w:val="007A445E"/>
    <w:rsid w:val="007A448D"/>
    <w:rsid w:val="007A45C5"/>
    <w:rsid w:val="007A4F2E"/>
    <w:rsid w:val="007A57B0"/>
    <w:rsid w:val="007A5A54"/>
    <w:rsid w:val="007A5D25"/>
    <w:rsid w:val="007A72A5"/>
    <w:rsid w:val="007A7B00"/>
    <w:rsid w:val="007B0268"/>
    <w:rsid w:val="007B17E1"/>
    <w:rsid w:val="007B1AC0"/>
    <w:rsid w:val="007B1E00"/>
    <w:rsid w:val="007B2D88"/>
    <w:rsid w:val="007B3D95"/>
    <w:rsid w:val="007B4B86"/>
    <w:rsid w:val="007B4BBD"/>
    <w:rsid w:val="007B534B"/>
    <w:rsid w:val="007B618D"/>
    <w:rsid w:val="007B6820"/>
    <w:rsid w:val="007B7B0A"/>
    <w:rsid w:val="007C0A26"/>
    <w:rsid w:val="007C0EB1"/>
    <w:rsid w:val="007C1088"/>
    <w:rsid w:val="007C12C5"/>
    <w:rsid w:val="007C1CB9"/>
    <w:rsid w:val="007C24C3"/>
    <w:rsid w:val="007C2B25"/>
    <w:rsid w:val="007C33F2"/>
    <w:rsid w:val="007C39EE"/>
    <w:rsid w:val="007C3C40"/>
    <w:rsid w:val="007C3F1A"/>
    <w:rsid w:val="007C4853"/>
    <w:rsid w:val="007C4D33"/>
    <w:rsid w:val="007C5539"/>
    <w:rsid w:val="007C6616"/>
    <w:rsid w:val="007C7355"/>
    <w:rsid w:val="007D0ADF"/>
    <w:rsid w:val="007D1245"/>
    <w:rsid w:val="007D1604"/>
    <w:rsid w:val="007D165E"/>
    <w:rsid w:val="007D1856"/>
    <w:rsid w:val="007D24AB"/>
    <w:rsid w:val="007D2CC3"/>
    <w:rsid w:val="007D30EE"/>
    <w:rsid w:val="007D3A74"/>
    <w:rsid w:val="007D401F"/>
    <w:rsid w:val="007D57A9"/>
    <w:rsid w:val="007D6175"/>
    <w:rsid w:val="007D628C"/>
    <w:rsid w:val="007D6396"/>
    <w:rsid w:val="007D6A69"/>
    <w:rsid w:val="007D6F99"/>
    <w:rsid w:val="007D7ADC"/>
    <w:rsid w:val="007E033A"/>
    <w:rsid w:val="007E0603"/>
    <w:rsid w:val="007E0E52"/>
    <w:rsid w:val="007E144E"/>
    <w:rsid w:val="007E20F7"/>
    <w:rsid w:val="007E22D7"/>
    <w:rsid w:val="007E297E"/>
    <w:rsid w:val="007E29A7"/>
    <w:rsid w:val="007E2D36"/>
    <w:rsid w:val="007E4476"/>
    <w:rsid w:val="007E48B8"/>
    <w:rsid w:val="007E49FD"/>
    <w:rsid w:val="007E4B7E"/>
    <w:rsid w:val="007E4CD1"/>
    <w:rsid w:val="007E5A68"/>
    <w:rsid w:val="007E6AB6"/>
    <w:rsid w:val="007E7579"/>
    <w:rsid w:val="007F2473"/>
    <w:rsid w:val="007F2B20"/>
    <w:rsid w:val="007F3A3A"/>
    <w:rsid w:val="007F3B31"/>
    <w:rsid w:val="007F3DB3"/>
    <w:rsid w:val="007F4088"/>
    <w:rsid w:val="007F40C5"/>
    <w:rsid w:val="007F494F"/>
    <w:rsid w:val="007F4AF0"/>
    <w:rsid w:val="007F61EE"/>
    <w:rsid w:val="007F6AA3"/>
    <w:rsid w:val="007F739C"/>
    <w:rsid w:val="007F75C0"/>
    <w:rsid w:val="007F774B"/>
    <w:rsid w:val="007F7D94"/>
    <w:rsid w:val="00800879"/>
    <w:rsid w:val="008009DF"/>
    <w:rsid w:val="00800E45"/>
    <w:rsid w:val="0080101F"/>
    <w:rsid w:val="008015A7"/>
    <w:rsid w:val="008015D9"/>
    <w:rsid w:val="008017CC"/>
    <w:rsid w:val="008019CB"/>
    <w:rsid w:val="0080234B"/>
    <w:rsid w:val="00802B3B"/>
    <w:rsid w:val="00803E56"/>
    <w:rsid w:val="0080409F"/>
    <w:rsid w:val="008049C0"/>
    <w:rsid w:val="00804C19"/>
    <w:rsid w:val="00805292"/>
    <w:rsid w:val="0080543D"/>
    <w:rsid w:val="00805A11"/>
    <w:rsid w:val="008063C8"/>
    <w:rsid w:val="00806FA0"/>
    <w:rsid w:val="008070E9"/>
    <w:rsid w:val="0080783A"/>
    <w:rsid w:val="00807AD8"/>
    <w:rsid w:val="00807DA3"/>
    <w:rsid w:val="00810248"/>
    <w:rsid w:val="00811B13"/>
    <w:rsid w:val="00811C91"/>
    <w:rsid w:val="00811E71"/>
    <w:rsid w:val="00811EBE"/>
    <w:rsid w:val="00812A15"/>
    <w:rsid w:val="008139E3"/>
    <w:rsid w:val="00813C5D"/>
    <w:rsid w:val="008141D1"/>
    <w:rsid w:val="0081506E"/>
    <w:rsid w:val="008152C2"/>
    <w:rsid w:val="008158F7"/>
    <w:rsid w:val="00815920"/>
    <w:rsid w:val="00816323"/>
    <w:rsid w:val="00816FEF"/>
    <w:rsid w:val="00817208"/>
    <w:rsid w:val="00817572"/>
    <w:rsid w:val="0082109E"/>
    <w:rsid w:val="00821180"/>
    <w:rsid w:val="00821900"/>
    <w:rsid w:val="00822380"/>
    <w:rsid w:val="00822B6B"/>
    <w:rsid w:val="00822E70"/>
    <w:rsid w:val="008233E5"/>
    <w:rsid w:val="00823E7D"/>
    <w:rsid w:val="00823F4D"/>
    <w:rsid w:val="00824414"/>
    <w:rsid w:val="00824C15"/>
    <w:rsid w:val="00824E8E"/>
    <w:rsid w:val="008268C0"/>
    <w:rsid w:val="008268C5"/>
    <w:rsid w:val="00827FF2"/>
    <w:rsid w:val="00830ABE"/>
    <w:rsid w:val="008324B7"/>
    <w:rsid w:val="00832CEF"/>
    <w:rsid w:val="00832ED8"/>
    <w:rsid w:val="00833560"/>
    <w:rsid w:val="008337D1"/>
    <w:rsid w:val="00833F1B"/>
    <w:rsid w:val="008345C7"/>
    <w:rsid w:val="008354B3"/>
    <w:rsid w:val="0083586F"/>
    <w:rsid w:val="00836A30"/>
    <w:rsid w:val="00836F0B"/>
    <w:rsid w:val="00837835"/>
    <w:rsid w:val="00837961"/>
    <w:rsid w:val="00837D55"/>
    <w:rsid w:val="00837F51"/>
    <w:rsid w:val="0084015F"/>
    <w:rsid w:val="00840399"/>
    <w:rsid w:val="00840A63"/>
    <w:rsid w:val="00840BB1"/>
    <w:rsid w:val="00843145"/>
    <w:rsid w:val="008433CA"/>
    <w:rsid w:val="008433F0"/>
    <w:rsid w:val="0084368E"/>
    <w:rsid w:val="0084370D"/>
    <w:rsid w:val="00843EC9"/>
    <w:rsid w:val="0084414F"/>
    <w:rsid w:val="00844629"/>
    <w:rsid w:val="0084627F"/>
    <w:rsid w:val="00846DDF"/>
    <w:rsid w:val="00846F67"/>
    <w:rsid w:val="00851044"/>
    <w:rsid w:val="008511D6"/>
    <w:rsid w:val="0085200B"/>
    <w:rsid w:val="00852167"/>
    <w:rsid w:val="00854191"/>
    <w:rsid w:val="00855A05"/>
    <w:rsid w:val="00856050"/>
    <w:rsid w:val="00856E56"/>
    <w:rsid w:val="00857803"/>
    <w:rsid w:val="008604E3"/>
    <w:rsid w:val="00860A72"/>
    <w:rsid w:val="008611F6"/>
    <w:rsid w:val="0086213D"/>
    <w:rsid w:val="0086222B"/>
    <w:rsid w:val="00862436"/>
    <w:rsid w:val="00862A2F"/>
    <w:rsid w:val="00863AFA"/>
    <w:rsid w:val="00863D87"/>
    <w:rsid w:val="00864222"/>
    <w:rsid w:val="00864994"/>
    <w:rsid w:val="008658EE"/>
    <w:rsid w:val="00865D79"/>
    <w:rsid w:val="008670C8"/>
    <w:rsid w:val="00867488"/>
    <w:rsid w:val="00867764"/>
    <w:rsid w:val="00867B4F"/>
    <w:rsid w:val="00867CBF"/>
    <w:rsid w:val="008706E7"/>
    <w:rsid w:val="008713B7"/>
    <w:rsid w:val="008716B5"/>
    <w:rsid w:val="0087213E"/>
    <w:rsid w:val="008725EE"/>
    <w:rsid w:val="008733B3"/>
    <w:rsid w:val="00873A19"/>
    <w:rsid w:val="008754C0"/>
    <w:rsid w:val="00875CCF"/>
    <w:rsid w:val="00875E3D"/>
    <w:rsid w:val="00876966"/>
    <w:rsid w:val="00876DBF"/>
    <w:rsid w:val="00877682"/>
    <w:rsid w:val="00877C82"/>
    <w:rsid w:val="00880EEE"/>
    <w:rsid w:val="008812D0"/>
    <w:rsid w:val="00881566"/>
    <w:rsid w:val="008816D3"/>
    <w:rsid w:val="00881C18"/>
    <w:rsid w:val="00882155"/>
    <w:rsid w:val="00882F88"/>
    <w:rsid w:val="008832DE"/>
    <w:rsid w:val="00883A63"/>
    <w:rsid w:val="00885762"/>
    <w:rsid w:val="0088578F"/>
    <w:rsid w:val="008873AF"/>
    <w:rsid w:val="008879EE"/>
    <w:rsid w:val="00887A8B"/>
    <w:rsid w:val="00887D56"/>
    <w:rsid w:val="00890983"/>
    <w:rsid w:val="00890C06"/>
    <w:rsid w:val="0089159E"/>
    <w:rsid w:val="00891881"/>
    <w:rsid w:val="00892FB9"/>
    <w:rsid w:val="0089341F"/>
    <w:rsid w:val="008949F9"/>
    <w:rsid w:val="00895568"/>
    <w:rsid w:val="00895A79"/>
    <w:rsid w:val="00895FCC"/>
    <w:rsid w:val="008961B0"/>
    <w:rsid w:val="0089645D"/>
    <w:rsid w:val="008968E3"/>
    <w:rsid w:val="00896A7C"/>
    <w:rsid w:val="00896E0B"/>
    <w:rsid w:val="00897B0C"/>
    <w:rsid w:val="008A0050"/>
    <w:rsid w:val="008A01AB"/>
    <w:rsid w:val="008A2543"/>
    <w:rsid w:val="008A3FFD"/>
    <w:rsid w:val="008A47C0"/>
    <w:rsid w:val="008A4A76"/>
    <w:rsid w:val="008A4B89"/>
    <w:rsid w:val="008A4BBD"/>
    <w:rsid w:val="008A4D2A"/>
    <w:rsid w:val="008A5326"/>
    <w:rsid w:val="008A5915"/>
    <w:rsid w:val="008A5D8F"/>
    <w:rsid w:val="008A5F9E"/>
    <w:rsid w:val="008A65C7"/>
    <w:rsid w:val="008A7274"/>
    <w:rsid w:val="008A7921"/>
    <w:rsid w:val="008B1A8C"/>
    <w:rsid w:val="008B1F4E"/>
    <w:rsid w:val="008B240C"/>
    <w:rsid w:val="008B42F6"/>
    <w:rsid w:val="008B50AB"/>
    <w:rsid w:val="008B50CB"/>
    <w:rsid w:val="008B5221"/>
    <w:rsid w:val="008B5B69"/>
    <w:rsid w:val="008B5B8C"/>
    <w:rsid w:val="008B6903"/>
    <w:rsid w:val="008B7F2C"/>
    <w:rsid w:val="008C0790"/>
    <w:rsid w:val="008C09D3"/>
    <w:rsid w:val="008C10B1"/>
    <w:rsid w:val="008C1165"/>
    <w:rsid w:val="008C12DA"/>
    <w:rsid w:val="008C12E0"/>
    <w:rsid w:val="008C14E3"/>
    <w:rsid w:val="008C155F"/>
    <w:rsid w:val="008C1D91"/>
    <w:rsid w:val="008C1E15"/>
    <w:rsid w:val="008C24A7"/>
    <w:rsid w:val="008C2A3E"/>
    <w:rsid w:val="008C328C"/>
    <w:rsid w:val="008C32A4"/>
    <w:rsid w:val="008C4526"/>
    <w:rsid w:val="008C477E"/>
    <w:rsid w:val="008C50DE"/>
    <w:rsid w:val="008C5665"/>
    <w:rsid w:val="008C5968"/>
    <w:rsid w:val="008C6FF9"/>
    <w:rsid w:val="008C7877"/>
    <w:rsid w:val="008D136E"/>
    <w:rsid w:val="008D1687"/>
    <w:rsid w:val="008D16F4"/>
    <w:rsid w:val="008D2155"/>
    <w:rsid w:val="008D2989"/>
    <w:rsid w:val="008D2D26"/>
    <w:rsid w:val="008D2FDF"/>
    <w:rsid w:val="008D37DA"/>
    <w:rsid w:val="008D3C1A"/>
    <w:rsid w:val="008D4C82"/>
    <w:rsid w:val="008D58B5"/>
    <w:rsid w:val="008D6B7C"/>
    <w:rsid w:val="008D7B2A"/>
    <w:rsid w:val="008E07CC"/>
    <w:rsid w:val="008E0C27"/>
    <w:rsid w:val="008E0E71"/>
    <w:rsid w:val="008E14B6"/>
    <w:rsid w:val="008E4B1C"/>
    <w:rsid w:val="008E503B"/>
    <w:rsid w:val="008E54F5"/>
    <w:rsid w:val="008E58D0"/>
    <w:rsid w:val="008E5FB8"/>
    <w:rsid w:val="008E6939"/>
    <w:rsid w:val="008E7331"/>
    <w:rsid w:val="008E773C"/>
    <w:rsid w:val="008F013A"/>
    <w:rsid w:val="008F074D"/>
    <w:rsid w:val="008F15B5"/>
    <w:rsid w:val="008F3B69"/>
    <w:rsid w:val="008F4B6B"/>
    <w:rsid w:val="008F5541"/>
    <w:rsid w:val="008F5EB1"/>
    <w:rsid w:val="008F6C92"/>
    <w:rsid w:val="008F722E"/>
    <w:rsid w:val="0090052A"/>
    <w:rsid w:val="00900A8A"/>
    <w:rsid w:val="00901104"/>
    <w:rsid w:val="00901204"/>
    <w:rsid w:val="00901B45"/>
    <w:rsid w:val="00901F7C"/>
    <w:rsid w:val="0090230B"/>
    <w:rsid w:val="00902419"/>
    <w:rsid w:val="00902DD5"/>
    <w:rsid w:val="00902F02"/>
    <w:rsid w:val="0090305B"/>
    <w:rsid w:val="00904F1C"/>
    <w:rsid w:val="00904F5E"/>
    <w:rsid w:val="00905383"/>
    <w:rsid w:val="0090584F"/>
    <w:rsid w:val="00905877"/>
    <w:rsid w:val="00906D46"/>
    <w:rsid w:val="0090750B"/>
    <w:rsid w:val="00907703"/>
    <w:rsid w:val="00907D33"/>
    <w:rsid w:val="00907EE9"/>
    <w:rsid w:val="00911493"/>
    <w:rsid w:val="00911F4F"/>
    <w:rsid w:val="0091248A"/>
    <w:rsid w:val="00912588"/>
    <w:rsid w:val="009128AC"/>
    <w:rsid w:val="0091345D"/>
    <w:rsid w:val="009137F2"/>
    <w:rsid w:val="00913ED5"/>
    <w:rsid w:val="009144AF"/>
    <w:rsid w:val="00916999"/>
    <w:rsid w:val="009172C2"/>
    <w:rsid w:val="00917324"/>
    <w:rsid w:val="0092033D"/>
    <w:rsid w:val="00920343"/>
    <w:rsid w:val="00920AD7"/>
    <w:rsid w:val="009211F9"/>
    <w:rsid w:val="0092128C"/>
    <w:rsid w:val="00922041"/>
    <w:rsid w:val="009224A5"/>
    <w:rsid w:val="00922948"/>
    <w:rsid w:val="009229C4"/>
    <w:rsid w:val="00922F94"/>
    <w:rsid w:val="00923292"/>
    <w:rsid w:val="0092343C"/>
    <w:rsid w:val="00923D29"/>
    <w:rsid w:val="00923D76"/>
    <w:rsid w:val="009255DA"/>
    <w:rsid w:val="009258A8"/>
    <w:rsid w:val="00925ADB"/>
    <w:rsid w:val="009261FF"/>
    <w:rsid w:val="009264F8"/>
    <w:rsid w:val="009268DB"/>
    <w:rsid w:val="00926ED6"/>
    <w:rsid w:val="00926F25"/>
    <w:rsid w:val="00926FA1"/>
    <w:rsid w:val="0092762D"/>
    <w:rsid w:val="00927EEA"/>
    <w:rsid w:val="0093077D"/>
    <w:rsid w:val="00930E60"/>
    <w:rsid w:val="00931514"/>
    <w:rsid w:val="0093168A"/>
    <w:rsid w:val="00931758"/>
    <w:rsid w:val="009329E3"/>
    <w:rsid w:val="00932BDE"/>
    <w:rsid w:val="00934292"/>
    <w:rsid w:val="00934568"/>
    <w:rsid w:val="00935706"/>
    <w:rsid w:val="009359FF"/>
    <w:rsid w:val="00935BFD"/>
    <w:rsid w:val="0093677C"/>
    <w:rsid w:val="00936A83"/>
    <w:rsid w:val="00936F28"/>
    <w:rsid w:val="0093735E"/>
    <w:rsid w:val="0093784B"/>
    <w:rsid w:val="00940891"/>
    <w:rsid w:val="009408AE"/>
    <w:rsid w:val="00941823"/>
    <w:rsid w:val="009421E0"/>
    <w:rsid w:val="0094246D"/>
    <w:rsid w:val="009424B6"/>
    <w:rsid w:val="00942DE7"/>
    <w:rsid w:val="009439A7"/>
    <w:rsid w:val="009447F1"/>
    <w:rsid w:val="0094496A"/>
    <w:rsid w:val="00944A9A"/>
    <w:rsid w:val="009450F6"/>
    <w:rsid w:val="00945272"/>
    <w:rsid w:val="00945389"/>
    <w:rsid w:val="00945420"/>
    <w:rsid w:val="00946C61"/>
    <w:rsid w:val="0094767B"/>
    <w:rsid w:val="009476C7"/>
    <w:rsid w:val="009478D7"/>
    <w:rsid w:val="00947998"/>
    <w:rsid w:val="00947AF8"/>
    <w:rsid w:val="00947C6B"/>
    <w:rsid w:val="00947CCD"/>
    <w:rsid w:val="00947E4C"/>
    <w:rsid w:val="00950558"/>
    <w:rsid w:val="0095068D"/>
    <w:rsid w:val="0095090B"/>
    <w:rsid w:val="00950C76"/>
    <w:rsid w:val="00951890"/>
    <w:rsid w:val="00951D1E"/>
    <w:rsid w:val="00951D65"/>
    <w:rsid w:val="00952678"/>
    <w:rsid w:val="00955223"/>
    <w:rsid w:val="00955627"/>
    <w:rsid w:val="00955AAF"/>
    <w:rsid w:val="00956DF9"/>
    <w:rsid w:val="00957103"/>
    <w:rsid w:val="00957A71"/>
    <w:rsid w:val="00960580"/>
    <w:rsid w:val="0096067E"/>
    <w:rsid w:val="009610E4"/>
    <w:rsid w:val="00961556"/>
    <w:rsid w:val="00961DCB"/>
    <w:rsid w:val="00962196"/>
    <w:rsid w:val="00962410"/>
    <w:rsid w:val="0096264E"/>
    <w:rsid w:val="009627BD"/>
    <w:rsid w:val="00962A53"/>
    <w:rsid w:val="00962AE5"/>
    <w:rsid w:val="00962D68"/>
    <w:rsid w:val="009636FD"/>
    <w:rsid w:val="0096422C"/>
    <w:rsid w:val="0096460D"/>
    <w:rsid w:val="0096510D"/>
    <w:rsid w:val="00965966"/>
    <w:rsid w:val="00966F21"/>
    <w:rsid w:val="0096715D"/>
    <w:rsid w:val="009671A0"/>
    <w:rsid w:val="00967238"/>
    <w:rsid w:val="00967877"/>
    <w:rsid w:val="00972BF3"/>
    <w:rsid w:val="00972C50"/>
    <w:rsid w:val="00972E13"/>
    <w:rsid w:val="00974342"/>
    <w:rsid w:val="00974A30"/>
    <w:rsid w:val="0097546A"/>
    <w:rsid w:val="009756DA"/>
    <w:rsid w:val="0097636A"/>
    <w:rsid w:val="00976B6E"/>
    <w:rsid w:val="0097733F"/>
    <w:rsid w:val="0098053D"/>
    <w:rsid w:val="00980708"/>
    <w:rsid w:val="0098103F"/>
    <w:rsid w:val="00981E7B"/>
    <w:rsid w:val="00982124"/>
    <w:rsid w:val="00982719"/>
    <w:rsid w:val="0098276D"/>
    <w:rsid w:val="00983271"/>
    <w:rsid w:val="00983D08"/>
    <w:rsid w:val="009846DA"/>
    <w:rsid w:val="009849F1"/>
    <w:rsid w:val="00984BCF"/>
    <w:rsid w:val="0098539E"/>
    <w:rsid w:val="0098625C"/>
    <w:rsid w:val="009865BB"/>
    <w:rsid w:val="0098662B"/>
    <w:rsid w:val="0098678A"/>
    <w:rsid w:val="00986BCE"/>
    <w:rsid w:val="00986CA0"/>
    <w:rsid w:val="00987166"/>
    <w:rsid w:val="009873F9"/>
    <w:rsid w:val="0099033C"/>
    <w:rsid w:val="0099074E"/>
    <w:rsid w:val="009907FB"/>
    <w:rsid w:val="00991303"/>
    <w:rsid w:val="00991A87"/>
    <w:rsid w:val="00991B92"/>
    <w:rsid w:val="00991D96"/>
    <w:rsid w:val="00991F77"/>
    <w:rsid w:val="009920A1"/>
    <w:rsid w:val="00992A72"/>
    <w:rsid w:val="009939D4"/>
    <w:rsid w:val="0099411B"/>
    <w:rsid w:val="00995F18"/>
    <w:rsid w:val="009965A5"/>
    <w:rsid w:val="009965C0"/>
    <w:rsid w:val="009969D0"/>
    <w:rsid w:val="00996CC7"/>
    <w:rsid w:val="00997D6E"/>
    <w:rsid w:val="009A078E"/>
    <w:rsid w:val="009A11E0"/>
    <w:rsid w:val="009A23C4"/>
    <w:rsid w:val="009A5B15"/>
    <w:rsid w:val="009A6D60"/>
    <w:rsid w:val="009A6E19"/>
    <w:rsid w:val="009A6FE4"/>
    <w:rsid w:val="009A7391"/>
    <w:rsid w:val="009B0923"/>
    <w:rsid w:val="009B0C78"/>
    <w:rsid w:val="009B2727"/>
    <w:rsid w:val="009B2C6F"/>
    <w:rsid w:val="009B3C85"/>
    <w:rsid w:val="009B3FE7"/>
    <w:rsid w:val="009B43C7"/>
    <w:rsid w:val="009B4DC8"/>
    <w:rsid w:val="009B505F"/>
    <w:rsid w:val="009B5090"/>
    <w:rsid w:val="009B5B97"/>
    <w:rsid w:val="009B5BE6"/>
    <w:rsid w:val="009B5E45"/>
    <w:rsid w:val="009B6C70"/>
    <w:rsid w:val="009C261A"/>
    <w:rsid w:val="009C3468"/>
    <w:rsid w:val="009C3492"/>
    <w:rsid w:val="009C34A9"/>
    <w:rsid w:val="009C3AE2"/>
    <w:rsid w:val="009C4285"/>
    <w:rsid w:val="009C4287"/>
    <w:rsid w:val="009C4961"/>
    <w:rsid w:val="009C4B3C"/>
    <w:rsid w:val="009C5014"/>
    <w:rsid w:val="009C515D"/>
    <w:rsid w:val="009C51F7"/>
    <w:rsid w:val="009C55DD"/>
    <w:rsid w:val="009C67D2"/>
    <w:rsid w:val="009D0464"/>
    <w:rsid w:val="009D0770"/>
    <w:rsid w:val="009D0B11"/>
    <w:rsid w:val="009D0D67"/>
    <w:rsid w:val="009D15A7"/>
    <w:rsid w:val="009D19AB"/>
    <w:rsid w:val="009D1D87"/>
    <w:rsid w:val="009D1E2D"/>
    <w:rsid w:val="009D1F0A"/>
    <w:rsid w:val="009D33DC"/>
    <w:rsid w:val="009D34B1"/>
    <w:rsid w:val="009D39DC"/>
    <w:rsid w:val="009D3A90"/>
    <w:rsid w:val="009D3A9E"/>
    <w:rsid w:val="009D4CE8"/>
    <w:rsid w:val="009D5751"/>
    <w:rsid w:val="009D6673"/>
    <w:rsid w:val="009D6E69"/>
    <w:rsid w:val="009D751A"/>
    <w:rsid w:val="009D7C75"/>
    <w:rsid w:val="009E0062"/>
    <w:rsid w:val="009E042F"/>
    <w:rsid w:val="009E070C"/>
    <w:rsid w:val="009E0938"/>
    <w:rsid w:val="009E0F41"/>
    <w:rsid w:val="009E1045"/>
    <w:rsid w:val="009E1573"/>
    <w:rsid w:val="009E16E1"/>
    <w:rsid w:val="009E1887"/>
    <w:rsid w:val="009E3516"/>
    <w:rsid w:val="009E4657"/>
    <w:rsid w:val="009E5544"/>
    <w:rsid w:val="009E5642"/>
    <w:rsid w:val="009E5796"/>
    <w:rsid w:val="009E5A92"/>
    <w:rsid w:val="009E6289"/>
    <w:rsid w:val="009E6DC3"/>
    <w:rsid w:val="009E7F1B"/>
    <w:rsid w:val="009F05E6"/>
    <w:rsid w:val="009F06EC"/>
    <w:rsid w:val="009F1793"/>
    <w:rsid w:val="009F1B24"/>
    <w:rsid w:val="009F2192"/>
    <w:rsid w:val="009F24D9"/>
    <w:rsid w:val="009F3B0D"/>
    <w:rsid w:val="009F3F0B"/>
    <w:rsid w:val="009F4AC4"/>
    <w:rsid w:val="009F4AE8"/>
    <w:rsid w:val="009F5BE0"/>
    <w:rsid w:val="009F7A9B"/>
    <w:rsid w:val="00A01CF8"/>
    <w:rsid w:val="00A01FF7"/>
    <w:rsid w:val="00A02218"/>
    <w:rsid w:val="00A031CD"/>
    <w:rsid w:val="00A03520"/>
    <w:rsid w:val="00A03667"/>
    <w:rsid w:val="00A0370D"/>
    <w:rsid w:val="00A03719"/>
    <w:rsid w:val="00A04AA6"/>
    <w:rsid w:val="00A0515A"/>
    <w:rsid w:val="00A0542E"/>
    <w:rsid w:val="00A0550F"/>
    <w:rsid w:val="00A05731"/>
    <w:rsid w:val="00A05860"/>
    <w:rsid w:val="00A05C81"/>
    <w:rsid w:val="00A07447"/>
    <w:rsid w:val="00A07843"/>
    <w:rsid w:val="00A10CDB"/>
    <w:rsid w:val="00A112EB"/>
    <w:rsid w:val="00A11517"/>
    <w:rsid w:val="00A11620"/>
    <w:rsid w:val="00A11674"/>
    <w:rsid w:val="00A11AFC"/>
    <w:rsid w:val="00A13CED"/>
    <w:rsid w:val="00A14BFA"/>
    <w:rsid w:val="00A14FA0"/>
    <w:rsid w:val="00A153CF"/>
    <w:rsid w:val="00A15ADC"/>
    <w:rsid w:val="00A161B9"/>
    <w:rsid w:val="00A164AF"/>
    <w:rsid w:val="00A164BE"/>
    <w:rsid w:val="00A17EAB"/>
    <w:rsid w:val="00A17EE3"/>
    <w:rsid w:val="00A20209"/>
    <w:rsid w:val="00A2026C"/>
    <w:rsid w:val="00A202F0"/>
    <w:rsid w:val="00A209E1"/>
    <w:rsid w:val="00A20F90"/>
    <w:rsid w:val="00A210E5"/>
    <w:rsid w:val="00A2184E"/>
    <w:rsid w:val="00A22215"/>
    <w:rsid w:val="00A22EC4"/>
    <w:rsid w:val="00A240D2"/>
    <w:rsid w:val="00A24B83"/>
    <w:rsid w:val="00A24F2A"/>
    <w:rsid w:val="00A2519D"/>
    <w:rsid w:val="00A270D9"/>
    <w:rsid w:val="00A301D2"/>
    <w:rsid w:val="00A302A7"/>
    <w:rsid w:val="00A3042E"/>
    <w:rsid w:val="00A304F8"/>
    <w:rsid w:val="00A306C5"/>
    <w:rsid w:val="00A30997"/>
    <w:rsid w:val="00A30C94"/>
    <w:rsid w:val="00A31E9D"/>
    <w:rsid w:val="00A328DF"/>
    <w:rsid w:val="00A32AE6"/>
    <w:rsid w:val="00A33053"/>
    <w:rsid w:val="00A33260"/>
    <w:rsid w:val="00A35A19"/>
    <w:rsid w:val="00A35B1E"/>
    <w:rsid w:val="00A3708B"/>
    <w:rsid w:val="00A375B8"/>
    <w:rsid w:val="00A3766B"/>
    <w:rsid w:val="00A37B9B"/>
    <w:rsid w:val="00A37C4A"/>
    <w:rsid w:val="00A401EA"/>
    <w:rsid w:val="00A40D0C"/>
    <w:rsid w:val="00A410A4"/>
    <w:rsid w:val="00A415F3"/>
    <w:rsid w:val="00A42415"/>
    <w:rsid w:val="00A424BD"/>
    <w:rsid w:val="00A42FB5"/>
    <w:rsid w:val="00A43763"/>
    <w:rsid w:val="00A43EBF"/>
    <w:rsid w:val="00A445F0"/>
    <w:rsid w:val="00A45361"/>
    <w:rsid w:val="00A453D4"/>
    <w:rsid w:val="00A45D9A"/>
    <w:rsid w:val="00A468F5"/>
    <w:rsid w:val="00A46D00"/>
    <w:rsid w:val="00A46D88"/>
    <w:rsid w:val="00A50916"/>
    <w:rsid w:val="00A512F4"/>
    <w:rsid w:val="00A5153D"/>
    <w:rsid w:val="00A5216A"/>
    <w:rsid w:val="00A525D9"/>
    <w:rsid w:val="00A535C4"/>
    <w:rsid w:val="00A53C66"/>
    <w:rsid w:val="00A53CEF"/>
    <w:rsid w:val="00A54092"/>
    <w:rsid w:val="00A54E16"/>
    <w:rsid w:val="00A55858"/>
    <w:rsid w:val="00A567C1"/>
    <w:rsid w:val="00A56FB4"/>
    <w:rsid w:val="00A571EF"/>
    <w:rsid w:val="00A5739E"/>
    <w:rsid w:val="00A60340"/>
    <w:rsid w:val="00A6035C"/>
    <w:rsid w:val="00A608A0"/>
    <w:rsid w:val="00A614E5"/>
    <w:rsid w:val="00A62553"/>
    <w:rsid w:val="00A63144"/>
    <w:rsid w:val="00A63F37"/>
    <w:rsid w:val="00A63FAD"/>
    <w:rsid w:val="00A64439"/>
    <w:rsid w:val="00A64B9F"/>
    <w:rsid w:val="00A6526B"/>
    <w:rsid w:val="00A65AF2"/>
    <w:rsid w:val="00A665ED"/>
    <w:rsid w:val="00A66D40"/>
    <w:rsid w:val="00A66E43"/>
    <w:rsid w:val="00A670E9"/>
    <w:rsid w:val="00A677B3"/>
    <w:rsid w:val="00A677DB"/>
    <w:rsid w:val="00A67889"/>
    <w:rsid w:val="00A67CBB"/>
    <w:rsid w:val="00A67CEA"/>
    <w:rsid w:val="00A7106A"/>
    <w:rsid w:val="00A71292"/>
    <w:rsid w:val="00A71441"/>
    <w:rsid w:val="00A71AB2"/>
    <w:rsid w:val="00A71B5E"/>
    <w:rsid w:val="00A71E2D"/>
    <w:rsid w:val="00A71EAE"/>
    <w:rsid w:val="00A72611"/>
    <w:rsid w:val="00A729AC"/>
    <w:rsid w:val="00A73790"/>
    <w:rsid w:val="00A73DC5"/>
    <w:rsid w:val="00A73E47"/>
    <w:rsid w:val="00A74BB0"/>
    <w:rsid w:val="00A75B3D"/>
    <w:rsid w:val="00A75B89"/>
    <w:rsid w:val="00A75C6D"/>
    <w:rsid w:val="00A77494"/>
    <w:rsid w:val="00A776EA"/>
    <w:rsid w:val="00A778A3"/>
    <w:rsid w:val="00A803F6"/>
    <w:rsid w:val="00A80E83"/>
    <w:rsid w:val="00A81ACF"/>
    <w:rsid w:val="00A82866"/>
    <w:rsid w:val="00A829D1"/>
    <w:rsid w:val="00A8307E"/>
    <w:rsid w:val="00A834D5"/>
    <w:rsid w:val="00A84D9F"/>
    <w:rsid w:val="00A84DFB"/>
    <w:rsid w:val="00A85EF1"/>
    <w:rsid w:val="00A86076"/>
    <w:rsid w:val="00A867AA"/>
    <w:rsid w:val="00A8685B"/>
    <w:rsid w:val="00A869AA"/>
    <w:rsid w:val="00A87964"/>
    <w:rsid w:val="00A905BA"/>
    <w:rsid w:val="00A90805"/>
    <w:rsid w:val="00A90FE5"/>
    <w:rsid w:val="00A91619"/>
    <w:rsid w:val="00A92561"/>
    <w:rsid w:val="00A9270F"/>
    <w:rsid w:val="00A9393C"/>
    <w:rsid w:val="00A95158"/>
    <w:rsid w:val="00A9536E"/>
    <w:rsid w:val="00A965DD"/>
    <w:rsid w:val="00A967CD"/>
    <w:rsid w:val="00A96B7E"/>
    <w:rsid w:val="00A96C4D"/>
    <w:rsid w:val="00A96FB3"/>
    <w:rsid w:val="00A97554"/>
    <w:rsid w:val="00A97DA7"/>
    <w:rsid w:val="00AA0484"/>
    <w:rsid w:val="00AA0AFD"/>
    <w:rsid w:val="00AA0DF3"/>
    <w:rsid w:val="00AA11CB"/>
    <w:rsid w:val="00AA11D7"/>
    <w:rsid w:val="00AA2073"/>
    <w:rsid w:val="00AA36BC"/>
    <w:rsid w:val="00AA3A22"/>
    <w:rsid w:val="00AA437A"/>
    <w:rsid w:val="00AA472F"/>
    <w:rsid w:val="00AA5DCE"/>
    <w:rsid w:val="00AA60C8"/>
    <w:rsid w:val="00AA62EB"/>
    <w:rsid w:val="00AA6B2A"/>
    <w:rsid w:val="00AA6FE6"/>
    <w:rsid w:val="00AA77B5"/>
    <w:rsid w:val="00AA7F43"/>
    <w:rsid w:val="00AB0AEF"/>
    <w:rsid w:val="00AB1AB6"/>
    <w:rsid w:val="00AB2A31"/>
    <w:rsid w:val="00AB32DF"/>
    <w:rsid w:val="00AB3898"/>
    <w:rsid w:val="00AB4425"/>
    <w:rsid w:val="00AB485C"/>
    <w:rsid w:val="00AB59FF"/>
    <w:rsid w:val="00AB6326"/>
    <w:rsid w:val="00AB6BEB"/>
    <w:rsid w:val="00AB751A"/>
    <w:rsid w:val="00AB751E"/>
    <w:rsid w:val="00AB7FDE"/>
    <w:rsid w:val="00AC00B8"/>
    <w:rsid w:val="00AC04C1"/>
    <w:rsid w:val="00AC1122"/>
    <w:rsid w:val="00AC20F1"/>
    <w:rsid w:val="00AC2ACF"/>
    <w:rsid w:val="00AC2D11"/>
    <w:rsid w:val="00AC330C"/>
    <w:rsid w:val="00AC482B"/>
    <w:rsid w:val="00AC4DFB"/>
    <w:rsid w:val="00AC60C7"/>
    <w:rsid w:val="00AC6952"/>
    <w:rsid w:val="00AC6CEB"/>
    <w:rsid w:val="00AC7419"/>
    <w:rsid w:val="00AC79C6"/>
    <w:rsid w:val="00AD0304"/>
    <w:rsid w:val="00AD0615"/>
    <w:rsid w:val="00AD0AB7"/>
    <w:rsid w:val="00AD1F67"/>
    <w:rsid w:val="00AD23E8"/>
    <w:rsid w:val="00AD24BD"/>
    <w:rsid w:val="00AD2860"/>
    <w:rsid w:val="00AD4227"/>
    <w:rsid w:val="00AD4F49"/>
    <w:rsid w:val="00AD5208"/>
    <w:rsid w:val="00AD525D"/>
    <w:rsid w:val="00AD55DA"/>
    <w:rsid w:val="00AD69BB"/>
    <w:rsid w:val="00AE0E1C"/>
    <w:rsid w:val="00AE1095"/>
    <w:rsid w:val="00AE138D"/>
    <w:rsid w:val="00AE2A94"/>
    <w:rsid w:val="00AE3C21"/>
    <w:rsid w:val="00AE3C48"/>
    <w:rsid w:val="00AE3D5D"/>
    <w:rsid w:val="00AE417B"/>
    <w:rsid w:val="00AE440F"/>
    <w:rsid w:val="00AE4679"/>
    <w:rsid w:val="00AE4B7F"/>
    <w:rsid w:val="00AE6C43"/>
    <w:rsid w:val="00AE6FB5"/>
    <w:rsid w:val="00AE77CC"/>
    <w:rsid w:val="00AE7BB4"/>
    <w:rsid w:val="00AF20C0"/>
    <w:rsid w:val="00AF20CF"/>
    <w:rsid w:val="00AF63BC"/>
    <w:rsid w:val="00AF6594"/>
    <w:rsid w:val="00AF6A0C"/>
    <w:rsid w:val="00AF6E8C"/>
    <w:rsid w:val="00AF7463"/>
    <w:rsid w:val="00AF79D9"/>
    <w:rsid w:val="00AF7C58"/>
    <w:rsid w:val="00B006BC"/>
    <w:rsid w:val="00B00DDA"/>
    <w:rsid w:val="00B01285"/>
    <w:rsid w:val="00B01545"/>
    <w:rsid w:val="00B01CB9"/>
    <w:rsid w:val="00B023AE"/>
    <w:rsid w:val="00B033C5"/>
    <w:rsid w:val="00B04741"/>
    <w:rsid w:val="00B047E3"/>
    <w:rsid w:val="00B04CE1"/>
    <w:rsid w:val="00B055EC"/>
    <w:rsid w:val="00B05DB7"/>
    <w:rsid w:val="00B06B2F"/>
    <w:rsid w:val="00B07498"/>
    <w:rsid w:val="00B077E5"/>
    <w:rsid w:val="00B11819"/>
    <w:rsid w:val="00B11BCB"/>
    <w:rsid w:val="00B12223"/>
    <w:rsid w:val="00B12DE1"/>
    <w:rsid w:val="00B13228"/>
    <w:rsid w:val="00B1323A"/>
    <w:rsid w:val="00B13929"/>
    <w:rsid w:val="00B13950"/>
    <w:rsid w:val="00B13ED4"/>
    <w:rsid w:val="00B1457D"/>
    <w:rsid w:val="00B151E4"/>
    <w:rsid w:val="00B1588A"/>
    <w:rsid w:val="00B15CFC"/>
    <w:rsid w:val="00B163A5"/>
    <w:rsid w:val="00B16B96"/>
    <w:rsid w:val="00B17BB0"/>
    <w:rsid w:val="00B17F48"/>
    <w:rsid w:val="00B205D4"/>
    <w:rsid w:val="00B20C7C"/>
    <w:rsid w:val="00B20F99"/>
    <w:rsid w:val="00B214E4"/>
    <w:rsid w:val="00B23AFF"/>
    <w:rsid w:val="00B23FC5"/>
    <w:rsid w:val="00B252E2"/>
    <w:rsid w:val="00B25DB3"/>
    <w:rsid w:val="00B26121"/>
    <w:rsid w:val="00B2678E"/>
    <w:rsid w:val="00B269D6"/>
    <w:rsid w:val="00B30A97"/>
    <w:rsid w:val="00B30BC1"/>
    <w:rsid w:val="00B31A7E"/>
    <w:rsid w:val="00B31AEF"/>
    <w:rsid w:val="00B332FE"/>
    <w:rsid w:val="00B334E6"/>
    <w:rsid w:val="00B344B3"/>
    <w:rsid w:val="00B34590"/>
    <w:rsid w:val="00B348AD"/>
    <w:rsid w:val="00B34A81"/>
    <w:rsid w:val="00B34D8A"/>
    <w:rsid w:val="00B34D90"/>
    <w:rsid w:val="00B34FC1"/>
    <w:rsid w:val="00B369D3"/>
    <w:rsid w:val="00B36A25"/>
    <w:rsid w:val="00B37503"/>
    <w:rsid w:val="00B40153"/>
    <w:rsid w:val="00B40EA6"/>
    <w:rsid w:val="00B40F12"/>
    <w:rsid w:val="00B41777"/>
    <w:rsid w:val="00B41815"/>
    <w:rsid w:val="00B41C01"/>
    <w:rsid w:val="00B424E3"/>
    <w:rsid w:val="00B42D44"/>
    <w:rsid w:val="00B42E50"/>
    <w:rsid w:val="00B43AE5"/>
    <w:rsid w:val="00B43EE0"/>
    <w:rsid w:val="00B44CC2"/>
    <w:rsid w:val="00B44D06"/>
    <w:rsid w:val="00B461E3"/>
    <w:rsid w:val="00B46535"/>
    <w:rsid w:val="00B469BF"/>
    <w:rsid w:val="00B46CB7"/>
    <w:rsid w:val="00B47F9B"/>
    <w:rsid w:val="00B50CEC"/>
    <w:rsid w:val="00B5107B"/>
    <w:rsid w:val="00B52827"/>
    <w:rsid w:val="00B52C3F"/>
    <w:rsid w:val="00B5343A"/>
    <w:rsid w:val="00B53696"/>
    <w:rsid w:val="00B53CC0"/>
    <w:rsid w:val="00B54932"/>
    <w:rsid w:val="00B556DB"/>
    <w:rsid w:val="00B5599F"/>
    <w:rsid w:val="00B56728"/>
    <w:rsid w:val="00B5721A"/>
    <w:rsid w:val="00B575AF"/>
    <w:rsid w:val="00B600F2"/>
    <w:rsid w:val="00B609B8"/>
    <w:rsid w:val="00B6186A"/>
    <w:rsid w:val="00B62A8D"/>
    <w:rsid w:val="00B63276"/>
    <w:rsid w:val="00B6350B"/>
    <w:rsid w:val="00B63A90"/>
    <w:rsid w:val="00B63BBA"/>
    <w:rsid w:val="00B64CEA"/>
    <w:rsid w:val="00B64DA4"/>
    <w:rsid w:val="00B65169"/>
    <w:rsid w:val="00B657D8"/>
    <w:rsid w:val="00B660D4"/>
    <w:rsid w:val="00B66204"/>
    <w:rsid w:val="00B662AD"/>
    <w:rsid w:val="00B6685D"/>
    <w:rsid w:val="00B67246"/>
    <w:rsid w:val="00B67298"/>
    <w:rsid w:val="00B67926"/>
    <w:rsid w:val="00B67987"/>
    <w:rsid w:val="00B70862"/>
    <w:rsid w:val="00B70CD3"/>
    <w:rsid w:val="00B71319"/>
    <w:rsid w:val="00B71421"/>
    <w:rsid w:val="00B72094"/>
    <w:rsid w:val="00B7226E"/>
    <w:rsid w:val="00B7235F"/>
    <w:rsid w:val="00B73426"/>
    <w:rsid w:val="00B73C92"/>
    <w:rsid w:val="00B73F2B"/>
    <w:rsid w:val="00B7469B"/>
    <w:rsid w:val="00B74712"/>
    <w:rsid w:val="00B74AE6"/>
    <w:rsid w:val="00B75198"/>
    <w:rsid w:val="00B753FE"/>
    <w:rsid w:val="00B75B7B"/>
    <w:rsid w:val="00B75C49"/>
    <w:rsid w:val="00B76BC1"/>
    <w:rsid w:val="00B77790"/>
    <w:rsid w:val="00B804B0"/>
    <w:rsid w:val="00B81BCE"/>
    <w:rsid w:val="00B837C2"/>
    <w:rsid w:val="00B84D0E"/>
    <w:rsid w:val="00B85E81"/>
    <w:rsid w:val="00B85F79"/>
    <w:rsid w:val="00B860FD"/>
    <w:rsid w:val="00B8685F"/>
    <w:rsid w:val="00B86B94"/>
    <w:rsid w:val="00B87075"/>
    <w:rsid w:val="00B8753D"/>
    <w:rsid w:val="00B87D34"/>
    <w:rsid w:val="00B87DA8"/>
    <w:rsid w:val="00B90243"/>
    <w:rsid w:val="00B903C2"/>
    <w:rsid w:val="00B905FE"/>
    <w:rsid w:val="00B913C0"/>
    <w:rsid w:val="00B914EE"/>
    <w:rsid w:val="00B92B23"/>
    <w:rsid w:val="00B93F57"/>
    <w:rsid w:val="00B94D7E"/>
    <w:rsid w:val="00B95527"/>
    <w:rsid w:val="00B9576C"/>
    <w:rsid w:val="00B96030"/>
    <w:rsid w:val="00B97360"/>
    <w:rsid w:val="00B9761C"/>
    <w:rsid w:val="00B9763D"/>
    <w:rsid w:val="00B97CA6"/>
    <w:rsid w:val="00BA00A4"/>
    <w:rsid w:val="00BA03CF"/>
    <w:rsid w:val="00BA06F6"/>
    <w:rsid w:val="00BA0A20"/>
    <w:rsid w:val="00BA0C16"/>
    <w:rsid w:val="00BA0E61"/>
    <w:rsid w:val="00BA1144"/>
    <w:rsid w:val="00BA1F88"/>
    <w:rsid w:val="00BA30D1"/>
    <w:rsid w:val="00BA46FF"/>
    <w:rsid w:val="00BA51A3"/>
    <w:rsid w:val="00BA5513"/>
    <w:rsid w:val="00BA5FE8"/>
    <w:rsid w:val="00BA616B"/>
    <w:rsid w:val="00BA64D4"/>
    <w:rsid w:val="00BA6787"/>
    <w:rsid w:val="00BA67AA"/>
    <w:rsid w:val="00BA71C2"/>
    <w:rsid w:val="00BA7618"/>
    <w:rsid w:val="00BA7C91"/>
    <w:rsid w:val="00BB16A6"/>
    <w:rsid w:val="00BB21CD"/>
    <w:rsid w:val="00BB2B67"/>
    <w:rsid w:val="00BB3276"/>
    <w:rsid w:val="00BB3640"/>
    <w:rsid w:val="00BB3E8A"/>
    <w:rsid w:val="00BB3E98"/>
    <w:rsid w:val="00BB40F7"/>
    <w:rsid w:val="00BB4679"/>
    <w:rsid w:val="00BB4688"/>
    <w:rsid w:val="00BB6296"/>
    <w:rsid w:val="00BB793C"/>
    <w:rsid w:val="00BB7CD2"/>
    <w:rsid w:val="00BB7CF3"/>
    <w:rsid w:val="00BB7E1F"/>
    <w:rsid w:val="00BC1CF3"/>
    <w:rsid w:val="00BC2AAC"/>
    <w:rsid w:val="00BC3AD0"/>
    <w:rsid w:val="00BC4098"/>
    <w:rsid w:val="00BC4989"/>
    <w:rsid w:val="00BC5E62"/>
    <w:rsid w:val="00BC6369"/>
    <w:rsid w:val="00BC67C9"/>
    <w:rsid w:val="00BC6E7F"/>
    <w:rsid w:val="00BC6E90"/>
    <w:rsid w:val="00BC7F1F"/>
    <w:rsid w:val="00BC7FBA"/>
    <w:rsid w:val="00BD074D"/>
    <w:rsid w:val="00BD0A17"/>
    <w:rsid w:val="00BD0D1F"/>
    <w:rsid w:val="00BD2BEF"/>
    <w:rsid w:val="00BD2E41"/>
    <w:rsid w:val="00BD32D5"/>
    <w:rsid w:val="00BD3D71"/>
    <w:rsid w:val="00BD3FD3"/>
    <w:rsid w:val="00BD40F9"/>
    <w:rsid w:val="00BD49CC"/>
    <w:rsid w:val="00BD5605"/>
    <w:rsid w:val="00BD5A32"/>
    <w:rsid w:val="00BD5CE3"/>
    <w:rsid w:val="00BD6AD9"/>
    <w:rsid w:val="00BD7428"/>
    <w:rsid w:val="00BD7434"/>
    <w:rsid w:val="00BD7F40"/>
    <w:rsid w:val="00BE1009"/>
    <w:rsid w:val="00BE1079"/>
    <w:rsid w:val="00BE157D"/>
    <w:rsid w:val="00BE1628"/>
    <w:rsid w:val="00BE1FD4"/>
    <w:rsid w:val="00BE21F2"/>
    <w:rsid w:val="00BE2989"/>
    <w:rsid w:val="00BE2B39"/>
    <w:rsid w:val="00BE3BDD"/>
    <w:rsid w:val="00BE3F01"/>
    <w:rsid w:val="00BE43A4"/>
    <w:rsid w:val="00BE46D0"/>
    <w:rsid w:val="00BE6250"/>
    <w:rsid w:val="00BE7A22"/>
    <w:rsid w:val="00BF0610"/>
    <w:rsid w:val="00BF06D3"/>
    <w:rsid w:val="00BF1BBE"/>
    <w:rsid w:val="00BF21ED"/>
    <w:rsid w:val="00BF2D6C"/>
    <w:rsid w:val="00BF2E0F"/>
    <w:rsid w:val="00BF35B3"/>
    <w:rsid w:val="00BF4BF6"/>
    <w:rsid w:val="00BF4CFF"/>
    <w:rsid w:val="00BF6170"/>
    <w:rsid w:val="00BF7BD8"/>
    <w:rsid w:val="00C009C6"/>
    <w:rsid w:val="00C0121C"/>
    <w:rsid w:val="00C01417"/>
    <w:rsid w:val="00C02B07"/>
    <w:rsid w:val="00C037FC"/>
    <w:rsid w:val="00C03869"/>
    <w:rsid w:val="00C03998"/>
    <w:rsid w:val="00C03CDE"/>
    <w:rsid w:val="00C0474C"/>
    <w:rsid w:val="00C04FDC"/>
    <w:rsid w:val="00C053FC"/>
    <w:rsid w:val="00C05B1B"/>
    <w:rsid w:val="00C05D15"/>
    <w:rsid w:val="00C066AB"/>
    <w:rsid w:val="00C066B7"/>
    <w:rsid w:val="00C06A05"/>
    <w:rsid w:val="00C0740C"/>
    <w:rsid w:val="00C075CD"/>
    <w:rsid w:val="00C105EB"/>
    <w:rsid w:val="00C10CC7"/>
    <w:rsid w:val="00C111F3"/>
    <w:rsid w:val="00C11DEE"/>
    <w:rsid w:val="00C11F7C"/>
    <w:rsid w:val="00C1238C"/>
    <w:rsid w:val="00C128EE"/>
    <w:rsid w:val="00C13A7F"/>
    <w:rsid w:val="00C13D56"/>
    <w:rsid w:val="00C14CFD"/>
    <w:rsid w:val="00C15979"/>
    <w:rsid w:val="00C15DA9"/>
    <w:rsid w:val="00C15FB3"/>
    <w:rsid w:val="00C15FD0"/>
    <w:rsid w:val="00C17FDD"/>
    <w:rsid w:val="00C20B7C"/>
    <w:rsid w:val="00C20EE8"/>
    <w:rsid w:val="00C212AA"/>
    <w:rsid w:val="00C21518"/>
    <w:rsid w:val="00C2174B"/>
    <w:rsid w:val="00C219A9"/>
    <w:rsid w:val="00C21CE3"/>
    <w:rsid w:val="00C22997"/>
    <w:rsid w:val="00C23916"/>
    <w:rsid w:val="00C23BFB"/>
    <w:rsid w:val="00C23C88"/>
    <w:rsid w:val="00C23FC8"/>
    <w:rsid w:val="00C24502"/>
    <w:rsid w:val="00C2455A"/>
    <w:rsid w:val="00C245ED"/>
    <w:rsid w:val="00C25924"/>
    <w:rsid w:val="00C2694D"/>
    <w:rsid w:val="00C2723A"/>
    <w:rsid w:val="00C27367"/>
    <w:rsid w:val="00C27910"/>
    <w:rsid w:val="00C27B4E"/>
    <w:rsid w:val="00C3040C"/>
    <w:rsid w:val="00C30A34"/>
    <w:rsid w:val="00C30B0C"/>
    <w:rsid w:val="00C311F0"/>
    <w:rsid w:val="00C3133A"/>
    <w:rsid w:val="00C31F20"/>
    <w:rsid w:val="00C32ACF"/>
    <w:rsid w:val="00C33787"/>
    <w:rsid w:val="00C33B51"/>
    <w:rsid w:val="00C33D82"/>
    <w:rsid w:val="00C340FC"/>
    <w:rsid w:val="00C34345"/>
    <w:rsid w:val="00C34717"/>
    <w:rsid w:val="00C34E15"/>
    <w:rsid w:val="00C34FBB"/>
    <w:rsid w:val="00C359CF"/>
    <w:rsid w:val="00C362BF"/>
    <w:rsid w:val="00C36EFA"/>
    <w:rsid w:val="00C370EE"/>
    <w:rsid w:val="00C373B6"/>
    <w:rsid w:val="00C37685"/>
    <w:rsid w:val="00C37FD7"/>
    <w:rsid w:val="00C40437"/>
    <w:rsid w:val="00C41B2B"/>
    <w:rsid w:val="00C424FB"/>
    <w:rsid w:val="00C425E0"/>
    <w:rsid w:val="00C44278"/>
    <w:rsid w:val="00C454B9"/>
    <w:rsid w:val="00C46768"/>
    <w:rsid w:val="00C475C8"/>
    <w:rsid w:val="00C4764E"/>
    <w:rsid w:val="00C50362"/>
    <w:rsid w:val="00C51A97"/>
    <w:rsid w:val="00C5255D"/>
    <w:rsid w:val="00C52783"/>
    <w:rsid w:val="00C52F9D"/>
    <w:rsid w:val="00C537FE"/>
    <w:rsid w:val="00C53A55"/>
    <w:rsid w:val="00C548C5"/>
    <w:rsid w:val="00C54945"/>
    <w:rsid w:val="00C56C8B"/>
    <w:rsid w:val="00C5706E"/>
    <w:rsid w:val="00C574E3"/>
    <w:rsid w:val="00C57967"/>
    <w:rsid w:val="00C60209"/>
    <w:rsid w:val="00C62B77"/>
    <w:rsid w:val="00C62E82"/>
    <w:rsid w:val="00C62FAD"/>
    <w:rsid w:val="00C6330F"/>
    <w:rsid w:val="00C63A8D"/>
    <w:rsid w:val="00C63C1D"/>
    <w:rsid w:val="00C63ED3"/>
    <w:rsid w:val="00C64355"/>
    <w:rsid w:val="00C64E51"/>
    <w:rsid w:val="00C64E71"/>
    <w:rsid w:val="00C653A6"/>
    <w:rsid w:val="00C658DB"/>
    <w:rsid w:val="00C65E58"/>
    <w:rsid w:val="00C66582"/>
    <w:rsid w:val="00C6710B"/>
    <w:rsid w:val="00C67419"/>
    <w:rsid w:val="00C6765F"/>
    <w:rsid w:val="00C6782F"/>
    <w:rsid w:val="00C679FB"/>
    <w:rsid w:val="00C70652"/>
    <w:rsid w:val="00C71005"/>
    <w:rsid w:val="00C71416"/>
    <w:rsid w:val="00C72DCB"/>
    <w:rsid w:val="00C72ED5"/>
    <w:rsid w:val="00C7366A"/>
    <w:rsid w:val="00C75214"/>
    <w:rsid w:val="00C75DFC"/>
    <w:rsid w:val="00C76A28"/>
    <w:rsid w:val="00C76EEA"/>
    <w:rsid w:val="00C778D8"/>
    <w:rsid w:val="00C77ABA"/>
    <w:rsid w:val="00C77F1D"/>
    <w:rsid w:val="00C8021E"/>
    <w:rsid w:val="00C803BA"/>
    <w:rsid w:val="00C81971"/>
    <w:rsid w:val="00C81FD2"/>
    <w:rsid w:val="00C8230F"/>
    <w:rsid w:val="00C82665"/>
    <w:rsid w:val="00C843AD"/>
    <w:rsid w:val="00C848E8"/>
    <w:rsid w:val="00C854D8"/>
    <w:rsid w:val="00C8764F"/>
    <w:rsid w:val="00C87CB1"/>
    <w:rsid w:val="00C91128"/>
    <w:rsid w:val="00C91F3C"/>
    <w:rsid w:val="00C9232E"/>
    <w:rsid w:val="00C929BD"/>
    <w:rsid w:val="00C936EB"/>
    <w:rsid w:val="00C93ACA"/>
    <w:rsid w:val="00C941AB"/>
    <w:rsid w:val="00C952D4"/>
    <w:rsid w:val="00C95702"/>
    <w:rsid w:val="00C9624F"/>
    <w:rsid w:val="00C96E0F"/>
    <w:rsid w:val="00C97445"/>
    <w:rsid w:val="00C975B5"/>
    <w:rsid w:val="00C97BAE"/>
    <w:rsid w:val="00C97D9A"/>
    <w:rsid w:val="00CA09C0"/>
    <w:rsid w:val="00CA0D98"/>
    <w:rsid w:val="00CA1E12"/>
    <w:rsid w:val="00CA20A1"/>
    <w:rsid w:val="00CA2793"/>
    <w:rsid w:val="00CA28D0"/>
    <w:rsid w:val="00CA3E14"/>
    <w:rsid w:val="00CA3EC6"/>
    <w:rsid w:val="00CA54FA"/>
    <w:rsid w:val="00CA65F9"/>
    <w:rsid w:val="00CA6694"/>
    <w:rsid w:val="00CA7706"/>
    <w:rsid w:val="00CA7B2D"/>
    <w:rsid w:val="00CA7F9C"/>
    <w:rsid w:val="00CB0246"/>
    <w:rsid w:val="00CB02A6"/>
    <w:rsid w:val="00CB0B33"/>
    <w:rsid w:val="00CB0F85"/>
    <w:rsid w:val="00CB15BE"/>
    <w:rsid w:val="00CB25B0"/>
    <w:rsid w:val="00CB2BDD"/>
    <w:rsid w:val="00CB2BF8"/>
    <w:rsid w:val="00CB420E"/>
    <w:rsid w:val="00CB4372"/>
    <w:rsid w:val="00CB52F5"/>
    <w:rsid w:val="00CB534D"/>
    <w:rsid w:val="00CB56A5"/>
    <w:rsid w:val="00CB5A05"/>
    <w:rsid w:val="00CB6B22"/>
    <w:rsid w:val="00CC1680"/>
    <w:rsid w:val="00CC19B8"/>
    <w:rsid w:val="00CC1EB5"/>
    <w:rsid w:val="00CC1EF3"/>
    <w:rsid w:val="00CC2024"/>
    <w:rsid w:val="00CC210B"/>
    <w:rsid w:val="00CC227B"/>
    <w:rsid w:val="00CC2466"/>
    <w:rsid w:val="00CC2B0A"/>
    <w:rsid w:val="00CC2CC1"/>
    <w:rsid w:val="00CC31A0"/>
    <w:rsid w:val="00CC385F"/>
    <w:rsid w:val="00CC3C77"/>
    <w:rsid w:val="00CC3D03"/>
    <w:rsid w:val="00CC41F6"/>
    <w:rsid w:val="00CC499A"/>
    <w:rsid w:val="00CC5314"/>
    <w:rsid w:val="00CC55F8"/>
    <w:rsid w:val="00CC55FC"/>
    <w:rsid w:val="00CC5C91"/>
    <w:rsid w:val="00CC606D"/>
    <w:rsid w:val="00CC7EB6"/>
    <w:rsid w:val="00CD00EF"/>
    <w:rsid w:val="00CD01B0"/>
    <w:rsid w:val="00CD0ACC"/>
    <w:rsid w:val="00CD0EC5"/>
    <w:rsid w:val="00CD0F6D"/>
    <w:rsid w:val="00CD179C"/>
    <w:rsid w:val="00CD2601"/>
    <w:rsid w:val="00CD26DB"/>
    <w:rsid w:val="00CD3452"/>
    <w:rsid w:val="00CD34DE"/>
    <w:rsid w:val="00CD4859"/>
    <w:rsid w:val="00CD4BDB"/>
    <w:rsid w:val="00CD512D"/>
    <w:rsid w:val="00CD537C"/>
    <w:rsid w:val="00CD63D5"/>
    <w:rsid w:val="00CD6827"/>
    <w:rsid w:val="00CD7349"/>
    <w:rsid w:val="00CE01F5"/>
    <w:rsid w:val="00CE0858"/>
    <w:rsid w:val="00CE154D"/>
    <w:rsid w:val="00CE1A31"/>
    <w:rsid w:val="00CE2CBC"/>
    <w:rsid w:val="00CE356D"/>
    <w:rsid w:val="00CE5C88"/>
    <w:rsid w:val="00CE5F65"/>
    <w:rsid w:val="00CE66CC"/>
    <w:rsid w:val="00CE68FC"/>
    <w:rsid w:val="00CE6DB9"/>
    <w:rsid w:val="00CE7EDF"/>
    <w:rsid w:val="00CF0A74"/>
    <w:rsid w:val="00CF38C1"/>
    <w:rsid w:val="00CF402A"/>
    <w:rsid w:val="00CF4E96"/>
    <w:rsid w:val="00CF5B4F"/>
    <w:rsid w:val="00CF5B9E"/>
    <w:rsid w:val="00CF5CD2"/>
    <w:rsid w:val="00CF694E"/>
    <w:rsid w:val="00CF76B9"/>
    <w:rsid w:val="00D01574"/>
    <w:rsid w:val="00D0259C"/>
    <w:rsid w:val="00D02B5B"/>
    <w:rsid w:val="00D02CD0"/>
    <w:rsid w:val="00D049C5"/>
    <w:rsid w:val="00D049FD"/>
    <w:rsid w:val="00D0508C"/>
    <w:rsid w:val="00D056F6"/>
    <w:rsid w:val="00D06442"/>
    <w:rsid w:val="00D07F1F"/>
    <w:rsid w:val="00D10279"/>
    <w:rsid w:val="00D10DA8"/>
    <w:rsid w:val="00D10F4E"/>
    <w:rsid w:val="00D1137B"/>
    <w:rsid w:val="00D118F0"/>
    <w:rsid w:val="00D128C8"/>
    <w:rsid w:val="00D1321D"/>
    <w:rsid w:val="00D13B8B"/>
    <w:rsid w:val="00D13D1E"/>
    <w:rsid w:val="00D14844"/>
    <w:rsid w:val="00D172EA"/>
    <w:rsid w:val="00D20491"/>
    <w:rsid w:val="00D20C98"/>
    <w:rsid w:val="00D21B48"/>
    <w:rsid w:val="00D21D4B"/>
    <w:rsid w:val="00D22389"/>
    <w:rsid w:val="00D227E5"/>
    <w:rsid w:val="00D22E7F"/>
    <w:rsid w:val="00D2330E"/>
    <w:rsid w:val="00D23401"/>
    <w:rsid w:val="00D23949"/>
    <w:rsid w:val="00D24806"/>
    <w:rsid w:val="00D2592A"/>
    <w:rsid w:val="00D25DD0"/>
    <w:rsid w:val="00D26147"/>
    <w:rsid w:val="00D2640C"/>
    <w:rsid w:val="00D27351"/>
    <w:rsid w:val="00D27697"/>
    <w:rsid w:val="00D3024D"/>
    <w:rsid w:val="00D303A8"/>
    <w:rsid w:val="00D308FF"/>
    <w:rsid w:val="00D3118D"/>
    <w:rsid w:val="00D32411"/>
    <w:rsid w:val="00D32E01"/>
    <w:rsid w:val="00D32E03"/>
    <w:rsid w:val="00D33AD3"/>
    <w:rsid w:val="00D33F37"/>
    <w:rsid w:val="00D34448"/>
    <w:rsid w:val="00D3509E"/>
    <w:rsid w:val="00D35783"/>
    <w:rsid w:val="00D35CAA"/>
    <w:rsid w:val="00D36554"/>
    <w:rsid w:val="00D36BEE"/>
    <w:rsid w:val="00D36D67"/>
    <w:rsid w:val="00D372E2"/>
    <w:rsid w:val="00D3735C"/>
    <w:rsid w:val="00D4065D"/>
    <w:rsid w:val="00D411F6"/>
    <w:rsid w:val="00D412F0"/>
    <w:rsid w:val="00D4131F"/>
    <w:rsid w:val="00D4256D"/>
    <w:rsid w:val="00D4342C"/>
    <w:rsid w:val="00D44B9D"/>
    <w:rsid w:val="00D45429"/>
    <w:rsid w:val="00D4548C"/>
    <w:rsid w:val="00D46072"/>
    <w:rsid w:val="00D467B8"/>
    <w:rsid w:val="00D51AFD"/>
    <w:rsid w:val="00D529FA"/>
    <w:rsid w:val="00D52DF3"/>
    <w:rsid w:val="00D53469"/>
    <w:rsid w:val="00D53765"/>
    <w:rsid w:val="00D537F9"/>
    <w:rsid w:val="00D54EE9"/>
    <w:rsid w:val="00D54FA7"/>
    <w:rsid w:val="00D55962"/>
    <w:rsid w:val="00D55C44"/>
    <w:rsid w:val="00D55E17"/>
    <w:rsid w:val="00D56056"/>
    <w:rsid w:val="00D56852"/>
    <w:rsid w:val="00D57F7C"/>
    <w:rsid w:val="00D60C7E"/>
    <w:rsid w:val="00D621B3"/>
    <w:rsid w:val="00D621E1"/>
    <w:rsid w:val="00D6402D"/>
    <w:rsid w:val="00D64351"/>
    <w:rsid w:val="00D64957"/>
    <w:rsid w:val="00D6499B"/>
    <w:rsid w:val="00D65194"/>
    <w:rsid w:val="00D657BD"/>
    <w:rsid w:val="00D65E33"/>
    <w:rsid w:val="00D6657E"/>
    <w:rsid w:val="00D66B76"/>
    <w:rsid w:val="00D67443"/>
    <w:rsid w:val="00D70FC1"/>
    <w:rsid w:val="00D72362"/>
    <w:rsid w:val="00D72F64"/>
    <w:rsid w:val="00D732E1"/>
    <w:rsid w:val="00D7343A"/>
    <w:rsid w:val="00D7363B"/>
    <w:rsid w:val="00D736A4"/>
    <w:rsid w:val="00D73767"/>
    <w:rsid w:val="00D73865"/>
    <w:rsid w:val="00D73EFD"/>
    <w:rsid w:val="00D74251"/>
    <w:rsid w:val="00D74468"/>
    <w:rsid w:val="00D749B1"/>
    <w:rsid w:val="00D75B2F"/>
    <w:rsid w:val="00D76601"/>
    <w:rsid w:val="00D77137"/>
    <w:rsid w:val="00D7757A"/>
    <w:rsid w:val="00D77D51"/>
    <w:rsid w:val="00D80682"/>
    <w:rsid w:val="00D80881"/>
    <w:rsid w:val="00D81F10"/>
    <w:rsid w:val="00D81F97"/>
    <w:rsid w:val="00D8237D"/>
    <w:rsid w:val="00D82421"/>
    <w:rsid w:val="00D8261A"/>
    <w:rsid w:val="00D84EFB"/>
    <w:rsid w:val="00D85603"/>
    <w:rsid w:val="00D85683"/>
    <w:rsid w:val="00D86483"/>
    <w:rsid w:val="00D8715F"/>
    <w:rsid w:val="00D928DF"/>
    <w:rsid w:val="00D931AB"/>
    <w:rsid w:val="00D9359C"/>
    <w:rsid w:val="00D935B3"/>
    <w:rsid w:val="00D9453C"/>
    <w:rsid w:val="00D954BE"/>
    <w:rsid w:val="00D95B1E"/>
    <w:rsid w:val="00D96177"/>
    <w:rsid w:val="00D96254"/>
    <w:rsid w:val="00D96B95"/>
    <w:rsid w:val="00D96D42"/>
    <w:rsid w:val="00DA0B67"/>
    <w:rsid w:val="00DA1D1C"/>
    <w:rsid w:val="00DA2282"/>
    <w:rsid w:val="00DA2714"/>
    <w:rsid w:val="00DA2DA2"/>
    <w:rsid w:val="00DA32B8"/>
    <w:rsid w:val="00DA3E04"/>
    <w:rsid w:val="00DA44E0"/>
    <w:rsid w:val="00DA4F65"/>
    <w:rsid w:val="00DA5089"/>
    <w:rsid w:val="00DA55F6"/>
    <w:rsid w:val="00DA57C4"/>
    <w:rsid w:val="00DA67B4"/>
    <w:rsid w:val="00DA6AE0"/>
    <w:rsid w:val="00DA70AA"/>
    <w:rsid w:val="00DA7777"/>
    <w:rsid w:val="00DB048F"/>
    <w:rsid w:val="00DB064D"/>
    <w:rsid w:val="00DB08BE"/>
    <w:rsid w:val="00DB202A"/>
    <w:rsid w:val="00DB2AAB"/>
    <w:rsid w:val="00DB2CB2"/>
    <w:rsid w:val="00DB324C"/>
    <w:rsid w:val="00DB33E5"/>
    <w:rsid w:val="00DB4071"/>
    <w:rsid w:val="00DB4DA8"/>
    <w:rsid w:val="00DB51BC"/>
    <w:rsid w:val="00DB54F5"/>
    <w:rsid w:val="00DB56DD"/>
    <w:rsid w:val="00DB69FD"/>
    <w:rsid w:val="00DC00B7"/>
    <w:rsid w:val="00DC03A0"/>
    <w:rsid w:val="00DC0A1B"/>
    <w:rsid w:val="00DC1499"/>
    <w:rsid w:val="00DC1A76"/>
    <w:rsid w:val="00DC1E01"/>
    <w:rsid w:val="00DC2D17"/>
    <w:rsid w:val="00DC2E65"/>
    <w:rsid w:val="00DC3053"/>
    <w:rsid w:val="00DC415D"/>
    <w:rsid w:val="00DC48A7"/>
    <w:rsid w:val="00DC4905"/>
    <w:rsid w:val="00DC54DE"/>
    <w:rsid w:val="00DC63BB"/>
    <w:rsid w:val="00DC64FC"/>
    <w:rsid w:val="00DC6FE1"/>
    <w:rsid w:val="00DC7166"/>
    <w:rsid w:val="00DD1118"/>
    <w:rsid w:val="00DD15B6"/>
    <w:rsid w:val="00DD191B"/>
    <w:rsid w:val="00DD2458"/>
    <w:rsid w:val="00DD282A"/>
    <w:rsid w:val="00DD3F2B"/>
    <w:rsid w:val="00DD4C60"/>
    <w:rsid w:val="00DD52A4"/>
    <w:rsid w:val="00DD5393"/>
    <w:rsid w:val="00DD584D"/>
    <w:rsid w:val="00DD5C1B"/>
    <w:rsid w:val="00DD5E87"/>
    <w:rsid w:val="00DD6765"/>
    <w:rsid w:val="00DD7264"/>
    <w:rsid w:val="00DD75DD"/>
    <w:rsid w:val="00DD79E0"/>
    <w:rsid w:val="00DE065C"/>
    <w:rsid w:val="00DE0CA4"/>
    <w:rsid w:val="00DE0DA8"/>
    <w:rsid w:val="00DE33DF"/>
    <w:rsid w:val="00DE38D9"/>
    <w:rsid w:val="00DE3B29"/>
    <w:rsid w:val="00DE3BF6"/>
    <w:rsid w:val="00DE4471"/>
    <w:rsid w:val="00DE4985"/>
    <w:rsid w:val="00DE4D74"/>
    <w:rsid w:val="00DE59A8"/>
    <w:rsid w:val="00DE59C2"/>
    <w:rsid w:val="00DE5AD2"/>
    <w:rsid w:val="00DE5D0A"/>
    <w:rsid w:val="00DE643D"/>
    <w:rsid w:val="00DF0308"/>
    <w:rsid w:val="00DF03A3"/>
    <w:rsid w:val="00DF0580"/>
    <w:rsid w:val="00DF12C2"/>
    <w:rsid w:val="00DF154D"/>
    <w:rsid w:val="00DF19B2"/>
    <w:rsid w:val="00DF29A0"/>
    <w:rsid w:val="00DF2C62"/>
    <w:rsid w:val="00DF3AC1"/>
    <w:rsid w:val="00DF40A8"/>
    <w:rsid w:val="00DF4795"/>
    <w:rsid w:val="00DF5894"/>
    <w:rsid w:val="00DF78FA"/>
    <w:rsid w:val="00DF7C1A"/>
    <w:rsid w:val="00E006A9"/>
    <w:rsid w:val="00E01015"/>
    <w:rsid w:val="00E01265"/>
    <w:rsid w:val="00E01EDA"/>
    <w:rsid w:val="00E02D9A"/>
    <w:rsid w:val="00E034AA"/>
    <w:rsid w:val="00E03752"/>
    <w:rsid w:val="00E038DB"/>
    <w:rsid w:val="00E03A83"/>
    <w:rsid w:val="00E03D21"/>
    <w:rsid w:val="00E03E98"/>
    <w:rsid w:val="00E03F0B"/>
    <w:rsid w:val="00E04ECC"/>
    <w:rsid w:val="00E05025"/>
    <w:rsid w:val="00E06D16"/>
    <w:rsid w:val="00E076E4"/>
    <w:rsid w:val="00E0783C"/>
    <w:rsid w:val="00E10E96"/>
    <w:rsid w:val="00E11A5E"/>
    <w:rsid w:val="00E12B8D"/>
    <w:rsid w:val="00E12BEA"/>
    <w:rsid w:val="00E12CBE"/>
    <w:rsid w:val="00E12E4E"/>
    <w:rsid w:val="00E141CD"/>
    <w:rsid w:val="00E1540D"/>
    <w:rsid w:val="00E15B5A"/>
    <w:rsid w:val="00E16B46"/>
    <w:rsid w:val="00E16BD1"/>
    <w:rsid w:val="00E16CA7"/>
    <w:rsid w:val="00E16D4F"/>
    <w:rsid w:val="00E17C69"/>
    <w:rsid w:val="00E17DE4"/>
    <w:rsid w:val="00E203CD"/>
    <w:rsid w:val="00E206C9"/>
    <w:rsid w:val="00E21DEC"/>
    <w:rsid w:val="00E22548"/>
    <w:rsid w:val="00E22A78"/>
    <w:rsid w:val="00E232CD"/>
    <w:rsid w:val="00E234A5"/>
    <w:rsid w:val="00E24115"/>
    <w:rsid w:val="00E2453F"/>
    <w:rsid w:val="00E250A0"/>
    <w:rsid w:val="00E254CD"/>
    <w:rsid w:val="00E256A4"/>
    <w:rsid w:val="00E25B9C"/>
    <w:rsid w:val="00E261C6"/>
    <w:rsid w:val="00E263D0"/>
    <w:rsid w:val="00E26A6E"/>
    <w:rsid w:val="00E26E52"/>
    <w:rsid w:val="00E279BF"/>
    <w:rsid w:val="00E30185"/>
    <w:rsid w:val="00E31227"/>
    <w:rsid w:val="00E349A9"/>
    <w:rsid w:val="00E350E5"/>
    <w:rsid w:val="00E354A8"/>
    <w:rsid w:val="00E35E47"/>
    <w:rsid w:val="00E36ABF"/>
    <w:rsid w:val="00E36C17"/>
    <w:rsid w:val="00E36D12"/>
    <w:rsid w:val="00E36EE0"/>
    <w:rsid w:val="00E36EEB"/>
    <w:rsid w:val="00E37DAF"/>
    <w:rsid w:val="00E40028"/>
    <w:rsid w:val="00E40194"/>
    <w:rsid w:val="00E41777"/>
    <w:rsid w:val="00E42A19"/>
    <w:rsid w:val="00E42B73"/>
    <w:rsid w:val="00E4337E"/>
    <w:rsid w:val="00E453BE"/>
    <w:rsid w:val="00E457AE"/>
    <w:rsid w:val="00E45E28"/>
    <w:rsid w:val="00E460C1"/>
    <w:rsid w:val="00E46641"/>
    <w:rsid w:val="00E46E51"/>
    <w:rsid w:val="00E4781C"/>
    <w:rsid w:val="00E50720"/>
    <w:rsid w:val="00E50CC6"/>
    <w:rsid w:val="00E519E7"/>
    <w:rsid w:val="00E52FB4"/>
    <w:rsid w:val="00E55E3D"/>
    <w:rsid w:val="00E560AE"/>
    <w:rsid w:val="00E560BF"/>
    <w:rsid w:val="00E5640F"/>
    <w:rsid w:val="00E57067"/>
    <w:rsid w:val="00E57719"/>
    <w:rsid w:val="00E57FAE"/>
    <w:rsid w:val="00E60341"/>
    <w:rsid w:val="00E60A35"/>
    <w:rsid w:val="00E60E16"/>
    <w:rsid w:val="00E617AD"/>
    <w:rsid w:val="00E61C13"/>
    <w:rsid w:val="00E6250A"/>
    <w:rsid w:val="00E64247"/>
    <w:rsid w:val="00E64E9A"/>
    <w:rsid w:val="00E65157"/>
    <w:rsid w:val="00E65579"/>
    <w:rsid w:val="00E65E42"/>
    <w:rsid w:val="00E6677A"/>
    <w:rsid w:val="00E6689D"/>
    <w:rsid w:val="00E66FF6"/>
    <w:rsid w:val="00E6701E"/>
    <w:rsid w:val="00E676FC"/>
    <w:rsid w:val="00E678B3"/>
    <w:rsid w:val="00E67985"/>
    <w:rsid w:val="00E7044C"/>
    <w:rsid w:val="00E70487"/>
    <w:rsid w:val="00E7062A"/>
    <w:rsid w:val="00E70CD8"/>
    <w:rsid w:val="00E70EC4"/>
    <w:rsid w:val="00E7198B"/>
    <w:rsid w:val="00E7210E"/>
    <w:rsid w:val="00E724E9"/>
    <w:rsid w:val="00E72836"/>
    <w:rsid w:val="00E72FA8"/>
    <w:rsid w:val="00E73424"/>
    <w:rsid w:val="00E73497"/>
    <w:rsid w:val="00E737D0"/>
    <w:rsid w:val="00E73FFC"/>
    <w:rsid w:val="00E74BDB"/>
    <w:rsid w:val="00E74C0D"/>
    <w:rsid w:val="00E75892"/>
    <w:rsid w:val="00E759FE"/>
    <w:rsid w:val="00E768E0"/>
    <w:rsid w:val="00E76CF8"/>
    <w:rsid w:val="00E775F5"/>
    <w:rsid w:val="00E77C78"/>
    <w:rsid w:val="00E77DF1"/>
    <w:rsid w:val="00E80EAD"/>
    <w:rsid w:val="00E810F4"/>
    <w:rsid w:val="00E81985"/>
    <w:rsid w:val="00E81D4F"/>
    <w:rsid w:val="00E829B1"/>
    <w:rsid w:val="00E83322"/>
    <w:rsid w:val="00E83EC5"/>
    <w:rsid w:val="00E84A60"/>
    <w:rsid w:val="00E84A91"/>
    <w:rsid w:val="00E851A8"/>
    <w:rsid w:val="00E852B4"/>
    <w:rsid w:val="00E855E1"/>
    <w:rsid w:val="00E85786"/>
    <w:rsid w:val="00E85DBD"/>
    <w:rsid w:val="00E86CA5"/>
    <w:rsid w:val="00E90274"/>
    <w:rsid w:val="00E90357"/>
    <w:rsid w:val="00E90D4C"/>
    <w:rsid w:val="00E91C7E"/>
    <w:rsid w:val="00E920B7"/>
    <w:rsid w:val="00E92268"/>
    <w:rsid w:val="00E929DC"/>
    <w:rsid w:val="00E93174"/>
    <w:rsid w:val="00E937EC"/>
    <w:rsid w:val="00E94378"/>
    <w:rsid w:val="00E94870"/>
    <w:rsid w:val="00E9560F"/>
    <w:rsid w:val="00E95699"/>
    <w:rsid w:val="00E956E6"/>
    <w:rsid w:val="00E9648D"/>
    <w:rsid w:val="00E973D1"/>
    <w:rsid w:val="00E978DA"/>
    <w:rsid w:val="00EA05C8"/>
    <w:rsid w:val="00EA10FD"/>
    <w:rsid w:val="00EA1133"/>
    <w:rsid w:val="00EA1441"/>
    <w:rsid w:val="00EA1730"/>
    <w:rsid w:val="00EA1797"/>
    <w:rsid w:val="00EA2B18"/>
    <w:rsid w:val="00EA2F19"/>
    <w:rsid w:val="00EA3722"/>
    <w:rsid w:val="00EA37AC"/>
    <w:rsid w:val="00EA4177"/>
    <w:rsid w:val="00EA4945"/>
    <w:rsid w:val="00EA4F7F"/>
    <w:rsid w:val="00EA5C41"/>
    <w:rsid w:val="00EA63C6"/>
    <w:rsid w:val="00EA6686"/>
    <w:rsid w:val="00EA7638"/>
    <w:rsid w:val="00EB03F8"/>
    <w:rsid w:val="00EB058E"/>
    <w:rsid w:val="00EB08A4"/>
    <w:rsid w:val="00EB150B"/>
    <w:rsid w:val="00EB1918"/>
    <w:rsid w:val="00EB1A49"/>
    <w:rsid w:val="00EB2053"/>
    <w:rsid w:val="00EB226B"/>
    <w:rsid w:val="00EB22FF"/>
    <w:rsid w:val="00EB23BF"/>
    <w:rsid w:val="00EB272C"/>
    <w:rsid w:val="00EB2839"/>
    <w:rsid w:val="00EB3078"/>
    <w:rsid w:val="00EB3288"/>
    <w:rsid w:val="00EB380B"/>
    <w:rsid w:val="00EB3C44"/>
    <w:rsid w:val="00EB3D27"/>
    <w:rsid w:val="00EB405C"/>
    <w:rsid w:val="00EB485A"/>
    <w:rsid w:val="00EB51F0"/>
    <w:rsid w:val="00EB6BA0"/>
    <w:rsid w:val="00EC0728"/>
    <w:rsid w:val="00EC074B"/>
    <w:rsid w:val="00EC1072"/>
    <w:rsid w:val="00EC22AA"/>
    <w:rsid w:val="00EC24BF"/>
    <w:rsid w:val="00EC2602"/>
    <w:rsid w:val="00EC315C"/>
    <w:rsid w:val="00EC462D"/>
    <w:rsid w:val="00EC46DD"/>
    <w:rsid w:val="00EC47AE"/>
    <w:rsid w:val="00EC49DE"/>
    <w:rsid w:val="00EC49F0"/>
    <w:rsid w:val="00EC519E"/>
    <w:rsid w:val="00EC60D8"/>
    <w:rsid w:val="00EC7057"/>
    <w:rsid w:val="00EC7074"/>
    <w:rsid w:val="00EC77C3"/>
    <w:rsid w:val="00EC7C90"/>
    <w:rsid w:val="00EC7CBA"/>
    <w:rsid w:val="00ED015F"/>
    <w:rsid w:val="00ED02C2"/>
    <w:rsid w:val="00ED1951"/>
    <w:rsid w:val="00ED1F50"/>
    <w:rsid w:val="00ED205E"/>
    <w:rsid w:val="00ED26F1"/>
    <w:rsid w:val="00ED3340"/>
    <w:rsid w:val="00ED3CED"/>
    <w:rsid w:val="00ED45FD"/>
    <w:rsid w:val="00ED465D"/>
    <w:rsid w:val="00ED7BB1"/>
    <w:rsid w:val="00EE2557"/>
    <w:rsid w:val="00EE2D9E"/>
    <w:rsid w:val="00EE2E66"/>
    <w:rsid w:val="00EE316B"/>
    <w:rsid w:val="00EE3D91"/>
    <w:rsid w:val="00EE3EA0"/>
    <w:rsid w:val="00EE61B7"/>
    <w:rsid w:val="00EE6CFF"/>
    <w:rsid w:val="00EE75F8"/>
    <w:rsid w:val="00EE7E65"/>
    <w:rsid w:val="00EE7FC4"/>
    <w:rsid w:val="00EF0895"/>
    <w:rsid w:val="00EF0B0F"/>
    <w:rsid w:val="00EF0C8D"/>
    <w:rsid w:val="00EF15FC"/>
    <w:rsid w:val="00EF4728"/>
    <w:rsid w:val="00EF4B12"/>
    <w:rsid w:val="00EF4CE7"/>
    <w:rsid w:val="00EF4E34"/>
    <w:rsid w:val="00EF4EA2"/>
    <w:rsid w:val="00EF57E6"/>
    <w:rsid w:val="00EF7086"/>
    <w:rsid w:val="00EF7924"/>
    <w:rsid w:val="00EF7E3C"/>
    <w:rsid w:val="00F00470"/>
    <w:rsid w:val="00F00AE8"/>
    <w:rsid w:val="00F00B71"/>
    <w:rsid w:val="00F00FB4"/>
    <w:rsid w:val="00F01172"/>
    <w:rsid w:val="00F01590"/>
    <w:rsid w:val="00F01A6A"/>
    <w:rsid w:val="00F0209F"/>
    <w:rsid w:val="00F026A1"/>
    <w:rsid w:val="00F02F8C"/>
    <w:rsid w:val="00F0421D"/>
    <w:rsid w:val="00F04EB1"/>
    <w:rsid w:val="00F05515"/>
    <w:rsid w:val="00F0628F"/>
    <w:rsid w:val="00F0711F"/>
    <w:rsid w:val="00F073BE"/>
    <w:rsid w:val="00F10F38"/>
    <w:rsid w:val="00F11257"/>
    <w:rsid w:val="00F113E1"/>
    <w:rsid w:val="00F11AA7"/>
    <w:rsid w:val="00F11EB9"/>
    <w:rsid w:val="00F125C9"/>
    <w:rsid w:val="00F13407"/>
    <w:rsid w:val="00F13AE5"/>
    <w:rsid w:val="00F13F43"/>
    <w:rsid w:val="00F143B3"/>
    <w:rsid w:val="00F14840"/>
    <w:rsid w:val="00F14AFD"/>
    <w:rsid w:val="00F150D5"/>
    <w:rsid w:val="00F159DA"/>
    <w:rsid w:val="00F15A3A"/>
    <w:rsid w:val="00F167C3"/>
    <w:rsid w:val="00F1761F"/>
    <w:rsid w:val="00F17867"/>
    <w:rsid w:val="00F17906"/>
    <w:rsid w:val="00F201E0"/>
    <w:rsid w:val="00F2080E"/>
    <w:rsid w:val="00F20841"/>
    <w:rsid w:val="00F219F3"/>
    <w:rsid w:val="00F22394"/>
    <w:rsid w:val="00F237E1"/>
    <w:rsid w:val="00F24580"/>
    <w:rsid w:val="00F24774"/>
    <w:rsid w:val="00F252D7"/>
    <w:rsid w:val="00F25BAE"/>
    <w:rsid w:val="00F2626A"/>
    <w:rsid w:val="00F26D30"/>
    <w:rsid w:val="00F27157"/>
    <w:rsid w:val="00F30D4D"/>
    <w:rsid w:val="00F31244"/>
    <w:rsid w:val="00F312C3"/>
    <w:rsid w:val="00F31559"/>
    <w:rsid w:val="00F320A2"/>
    <w:rsid w:val="00F3210C"/>
    <w:rsid w:val="00F327B4"/>
    <w:rsid w:val="00F32EDC"/>
    <w:rsid w:val="00F3330C"/>
    <w:rsid w:val="00F34366"/>
    <w:rsid w:val="00F34554"/>
    <w:rsid w:val="00F34687"/>
    <w:rsid w:val="00F34BD7"/>
    <w:rsid w:val="00F353B2"/>
    <w:rsid w:val="00F35B52"/>
    <w:rsid w:val="00F3663F"/>
    <w:rsid w:val="00F368A2"/>
    <w:rsid w:val="00F37787"/>
    <w:rsid w:val="00F4020C"/>
    <w:rsid w:val="00F405F8"/>
    <w:rsid w:val="00F40A3B"/>
    <w:rsid w:val="00F40E8D"/>
    <w:rsid w:val="00F41601"/>
    <w:rsid w:val="00F4169E"/>
    <w:rsid w:val="00F419A4"/>
    <w:rsid w:val="00F419CC"/>
    <w:rsid w:val="00F41A57"/>
    <w:rsid w:val="00F41AB2"/>
    <w:rsid w:val="00F41CEA"/>
    <w:rsid w:val="00F425F5"/>
    <w:rsid w:val="00F42D66"/>
    <w:rsid w:val="00F43BD5"/>
    <w:rsid w:val="00F4445F"/>
    <w:rsid w:val="00F448A7"/>
    <w:rsid w:val="00F44E03"/>
    <w:rsid w:val="00F45B86"/>
    <w:rsid w:val="00F46166"/>
    <w:rsid w:val="00F4683B"/>
    <w:rsid w:val="00F46A5A"/>
    <w:rsid w:val="00F46ACB"/>
    <w:rsid w:val="00F47393"/>
    <w:rsid w:val="00F476A9"/>
    <w:rsid w:val="00F5040A"/>
    <w:rsid w:val="00F50F22"/>
    <w:rsid w:val="00F525E6"/>
    <w:rsid w:val="00F52A28"/>
    <w:rsid w:val="00F538E9"/>
    <w:rsid w:val="00F539C1"/>
    <w:rsid w:val="00F53BCF"/>
    <w:rsid w:val="00F54AB6"/>
    <w:rsid w:val="00F550AF"/>
    <w:rsid w:val="00F55E62"/>
    <w:rsid w:val="00F56483"/>
    <w:rsid w:val="00F56748"/>
    <w:rsid w:val="00F57233"/>
    <w:rsid w:val="00F573FF"/>
    <w:rsid w:val="00F57BFC"/>
    <w:rsid w:val="00F6038B"/>
    <w:rsid w:val="00F60926"/>
    <w:rsid w:val="00F60E5E"/>
    <w:rsid w:val="00F611DD"/>
    <w:rsid w:val="00F6120D"/>
    <w:rsid w:val="00F62089"/>
    <w:rsid w:val="00F62270"/>
    <w:rsid w:val="00F6343D"/>
    <w:rsid w:val="00F63C52"/>
    <w:rsid w:val="00F64142"/>
    <w:rsid w:val="00F64A35"/>
    <w:rsid w:val="00F65074"/>
    <w:rsid w:val="00F65197"/>
    <w:rsid w:val="00F655F1"/>
    <w:rsid w:val="00F65B7E"/>
    <w:rsid w:val="00F66389"/>
    <w:rsid w:val="00F6666C"/>
    <w:rsid w:val="00F66CE6"/>
    <w:rsid w:val="00F67441"/>
    <w:rsid w:val="00F705B1"/>
    <w:rsid w:val="00F70622"/>
    <w:rsid w:val="00F70C71"/>
    <w:rsid w:val="00F71AAC"/>
    <w:rsid w:val="00F71BBB"/>
    <w:rsid w:val="00F72B7B"/>
    <w:rsid w:val="00F72C4B"/>
    <w:rsid w:val="00F73724"/>
    <w:rsid w:val="00F73787"/>
    <w:rsid w:val="00F73B70"/>
    <w:rsid w:val="00F73DD0"/>
    <w:rsid w:val="00F74327"/>
    <w:rsid w:val="00F7536E"/>
    <w:rsid w:val="00F754F8"/>
    <w:rsid w:val="00F75642"/>
    <w:rsid w:val="00F758F8"/>
    <w:rsid w:val="00F7622B"/>
    <w:rsid w:val="00F76ACF"/>
    <w:rsid w:val="00F76B2F"/>
    <w:rsid w:val="00F779F2"/>
    <w:rsid w:val="00F77AE5"/>
    <w:rsid w:val="00F81EFC"/>
    <w:rsid w:val="00F82121"/>
    <w:rsid w:val="00F83355"/>
    <w:rsid w:val="00F83365"/>
    <w:rsid w:val="00F8352D"/>
    <w:rsid w:val="00F83BC0"/>
    <w:rsid w:val="00F84FBF"/>
    <w:rsid w:val="00F866C1"/>
    <w:rsid w:val="00F872E1"/>
    <w:rsid w:val="00F87394"/>
    <w:rsid w:val="00F87549"/>
    <w:rsid w:val="00F87C37"/>
    <w:rsid w:val="00F87F27"/>
    <w:rsid w:val="00F9015F"/>
    <w:rsid w:val="00F90524"/>
    <w:rsid w:val="00F90DD9"/>
    <w:rsid w:val="00F91811"/>
    <w:rsid w:val="00F91903"/>
    <w:rsid w:val="00F91B88"/>
    <w:rsid w:val="00F91CD8"/>
    <w:rsid w:val="00F923ED"/>
    <w:rsid w:val="00F9279A"/>
    <w:rsid w:val="00F92A0E"/>
    <w:rsid w:val="00F92D43"/>
    <w:rsid w:val="00F932E0"/>
    <w:rsid w:val="00F937CE"/>
    <w:rsid w:val="00F93C50"/>
    <w:rsid w:val="00F946D9"/>
    <w:rsid w:val="00F9519A"/>
    <w:rsid w:val="00F95688"/>
    <w:rsid w:val="00F95753"/>
    <w:rsid w:val="00F96967"/>
    <w:rsid w:val="00F96E3F"/>
    <w:rsid w:val="00F96FC4"/>
    <w:rsid w:val="00F978AA"/>
    <w:rsid w:val="00FA01B5"/>
    <w:rsid w:val="00FA01DC"/>
    <w:rsid w:val="00FA06FE"/>
    <w:rsid w:val="00FA11BA"/>
    <w:rsid w:val="00FA1538"/>
    <w:rsid w:val="00FA1FC4"/>
    <w:rsid w:val="00FA275A"/>
    <w:rsid w:val="00FA2E1C"/>
    <w:rsid w:val="00FA485D"/>
    <w:rsid w:val="00FA4C64"/>
    <w:rsid w:val="00FA6027"/>
    <w:rsid w:val="00FA6450"/>
    <w:rsid w:val="00FA6A50"/>
    <w:rsid w:val="00FA6E0A"/>
    <w:rsid w:val="00FA7089"/>
    <w:rsid w:val="00FA7229"/>
    <w:rsid w:val="00FA7958"/>
    <w:rsid w:val="00FA7D0B"/>
    <w:rsid w:val="00FB013D"/>
    <w:rsid w:val="00FB06EF"/>
    <w:rsid w:val="00FB0D6C"/>
    <w:rsid w:val="00FB0E7B"/>
    <w:rsid w:val="00FB292F"/>
    <w:rsid w:val="00FB2F30"/>
    <w:rsid w:val="00FB34AE"/>
    <w:rsid w:val="00FB4B09"/>
    <w:rsid w:val="00FB5A1C"/>
    <w:rsid w:val="00FB5DA3"/>
    <w:rsid w:val="00FB5EBC"/>
    <w:rsid w:val="00FB60E2"/>
    <w:rsid w:val="00FB66A6"/>
    <w:rsid w:val="00FB68CF"/>
    <w:rsid w:val="00FB69DE"/>
    <w:rsid w:val="00FB7E34"/>
    <w:rsid w:val="00FC0636"/>
    <w:rsid w:val="00FC06E7"/>
    <w:rsid w:val="00FC3013"/>
    <w:rsid w:val="00FC3B6C"/>
    <w:rsid w:val="00FC3E52"/>
    <w:rsid w:val="00FC420B"/>
    <w:rsid w:val="00FC6FA9"/>
    <w:rsid w:val="00FC7D6B"/>
    <w:rsid w:val="00FD0096"/>
    <w:rsid w:val="00FD0212"/>
    <w:rsid w:val="00FD1057"/>
    <w:rsid w:val="00FD20E8"/>
    <w:rsid w:val="00FD2682"/>
    <w:rsid w:val="00FD396D"/>
    <w:rsid w:val="00FD3B61"/>
    <w:rsid w:val="00FD3C12"/>
    <w:rsid w:val="00FD4467"/>
    <w:rsid w:val="00FD4C90"/>
    <w:rsid w:val="00FD522D"/>
    <w:rsid w:val="00FD5749"/>
    <w:rsid w:val="00FD6081"/>
    <w:rsid w:val="00FD6C3F"/>
    <w:rsid w:val="00FD7288"/>
    <w:rsid w:val="00FD7492"/>
    <w:rsid w:val="00FD78C9"/>
    <w:rsid w:val="00FD7C6C"/>
    <w:rsid w:val="00FE10C5"/>
    <w:rsid w:val="00FE352D"/>
    <w:rsid w:val="00FE5607"/>
    <w:rsid w:val="00FE6038"/>
    <w:rsid w:val="00FE6713"/>
    <w:rsid w:val="00FE6A61"/>
    <w:rsid w:val="00FE77C8"/>
    <w:rsid w:val="00FE7E03"/>
    <w:rsid w:val="00FF0175"/>
    <w:rsid w:val="00FF0841"/>
    <w:rsid w:val="00FF20BF"/>
    <w:rsid w:val="00FF258A"/>
    <w:rsid w:val="00FF3094"/>
    <w:rsid w:val="00FF34E9"/>
    <w:rsid w:val="00FF3D3A"/>
    <w:rsid w:val="00FF3D7D"/>
    <w:rsid w:val="00FF3E56"/>
    <w:rsid w:val="00FF4F28"/>
    <w:rsid w:val="00FF5CD9"/>
    <w:rsid w:val="00FF6C82"/>
    <w:rsid w:val="00FF6D4C"/>
    <w:rsid w:val="00FF7199"/>
    <w:rsid w:val="00FF73B7"/>
    <w:rsid w:val="131E0157"/>
    <w:rsid w:val="3A88CFDA"/>
    <w:rsid w:val="3C8F5D8E"/>
    <w:rsid w:val="42490368"/>
    <w:rsid w:val="617DB338"/>
    <w:rsid w:val="6BDDB6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0ED56C1E"/>
  <w15:docId w15:val="{2D69C1B7-919F-4E60-88C7-384199EC8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69"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463"/>
    <w:pPr>
      <w:spacing w:before="120" w:after="120" w:line="240" w:lineRule="auto"/>
    </w:pPr>
    <w:rPr>
      <w:rFonts w:ascii="Arial" w:eastAsia="Times New Roman" w:hAnsi="Arial" w:cs="Times New Roman"/>
      <w:bCs/>
      <w:sz w:val="24"/>
      <w:szCs w:val="26"/>
    </w:rPr>
  </w:style>
  <w:style w:type="paragraph" w:styleId="Heading1">
    <w:name w:val="heading 1"/>
    <w:basedOn w:val="Normal"/>
    <w:next w:val="Normal"/>
    <w:link w:val="Heading1Char"/>
    <w:uiPriority w:val="9"/>
    <w:qFormat/>
    <w:rsid w:val="00CD26DB"/>
    <w:pPr>
      <w:keepNext/>
      <w:keepLines/>
      <w:numPr>
        <w:numId w:val="12"/>
      </w:numPr>
      <w:spacing w:before="360" w:line="259" w:lineRule="auto"/>
      <w:outlineLvl w:val="0"/>
    </w:pPr>
    <w:rPr>
      <w:rFonts w:eastAsiaTheme="majorEastAsia" w:cstheme="majorBidi"/>
      <w:b/>
      <w:bCs w:val="0"/>
      <w:color w:val="005EB8"/>
      <w:sz w:val="32"/>
      <w:szCs w:val="32"/>
    </w:rPr>
  </w:style>
  <w:style w:type="paragraph" w:styleId="Heading2">
    <w:name w:val="heading 2"/>
    <w:basedOn w:val="Normal"/>
    <w:next w:val="Normal"/>
    <w:link w:val="Heading2Char"/>
    <w:uiPriority w:val="9"/>
    <w:unhideWhenUsed/>
    <w:qFormat/>
    <w:rsid w:val="00CD26DB"/>
    <w:pPr>
      <w:keepNext/>
      <w:keepLines/>
      <w:spacing w:line="259" w:lineRule="auto"/>
      <w:outlineLvl w:val="1"/>
    </w:pPr>
    <w:rPr>
      <w:rFonts w:eastAsiaTheme="majorEastAsia" w:cstheme="majorBidi"/>
      <w:b/>
      <w:bCs w:val="0"/>
      <w:color w:val="7C2855"/>
      <w:sz w:val="28"/>
    </w:rPr>
  </w:style>
  <w:style w:type="paragraph" w:styleId="Heading3">
    <w:name w:val="heading 3"/>
    <w:basedOn w:val="Normal"/>
    <w:next w:val="Normal"/>
    <w:link w:val="Heading3Char"/>
    <w:uiPriority w:val="9"/>
    <w:unhideWhenUsed/>
    <w:qFormat/>
    <w:rsid w:val="000B5F9D"/>
    <w:pPr>
      <w:keepNext/>
      <w:keepLines/>
      <w:spacing w:before="40" w:line="259" w:lineRule="auto"/>
      <w:outlineLvl w:val="2"/>
    </w:pPr>
    <w:rPr>
      <w:rFonts w:eastAsiaTheme="majorEastAsia" w:cstheme="majorBidi"/>
      <w:b/>
      <w:bCs w:val="0"/>
      <w:color w:val="000000" w:themeColor="text1"/>
      <w:szCs w:val="24"/>
    </w:rPr>
  </w:style>
  <w:style w:type="paragraph" w:styleId="Heading4">
    <w:name w:val="heading 4"/>
    <w:basedOn w:val="Normal"/>
    <w:next w:val="Normal"/>
    <w:link w:val="Heading4Char"/>
    <w:uiPriority w:val="9"/>
    <w:semiHidden/>
    <w:unhideWhenUsed/>
    <w:qFormat/>
    <w:rsid w:val="002A6BF1"/>
    <w:pPr>
      <w:keepNext/>
      <w:keepLines/>
      <w:spacing w:before="40" w:line="259" w:lineRule="auto"/>
      <w:outlineLvl w:val="3"/>
    </w:pPr>
    <w:rPr>
      <w:rFonts w:asciiTheme="majorHAnsi" w:eastAsiaTheme="majorEastAsia" w:hAnsiTheme="majorHAnsi" w:cstheme="majorBidi"/>
      <w:bCs w:val="0"/>
      <w:i/>
      <w:iCs/>
      <w:color w:val="2E74B5" w:themeColor="accent1" w:themeShade="BF"/>
      <w:sz w:val="22"/>
      <w:szCs w:val="22"/>
    </w:rPr>
  </w:style>
  <w:style w:type="paragraph" w:styleId="Heading5">
    <w:name w:val="heading 5"/>
    <w:basedOn w:val="Normal"/>
    <w:next w:val="Normal"/>
    <w:link w:val="Heading5Char"/>
    <w:uiPriority w:val="9"/>
    <w:semiHidden/>
    <w:unhideWhenUsed/>
    <w:qFormat/>
    <w:rsid w:val="002A6BF1"/>
    <w:pPr>
      <w:keepNext/>
      <w:keepLines/>
      <w:spacing w:before="40" w:line="259" w:lineRule="auto"/>
      <w:outlineLvl w:val="4"/>
    </w:pPr>
    <w:rPr>
      <w:rFonts w:asciiTheme="majorHAnsi" w:eastAsiaTheme="majorEastAsia" w:hAnsiTheme="majorHAnsi" w:cstheme="majorBidi"/>
      <w:bCs w:val="0"/>
      <w:color w:val="2E74B5" w:themeColor="accent1" w:themeShade="BF"/>
      <w:sz w:val="22"/>
      <w:szCs w:val="22"/>
    </w:rPr>
  </w:style>
  <w:style w:type="paragraph" w:styleId="Heading6">
    <w:name w:val="heading 6"/>
    <w:basedOn w:val="Normal"/>
    <w:next w:val="Normal"/>
    <w:link w:val="Heading6Char"/>
    <w:uiPriority w:val="9"/>
    <w:semiHidden/>
    <w:unhideWhenUsed/>
    <w:qFormat/>
    <w:rsid w:val="002A6BF1"/>
    <w:pPr>
      <w:keepNext/>
      <w:keepLines/>
      <w:spacing w:before="40" w:line="259" w:lineRule="auto"/>
      <w:outlineLvl w:val="5"/>
    </w:pPr>
    <w:rPr>
      <w:rFonts w:asciiTheme="majorHAnsi" w:eastAsiaTheme="majorEastAsia" w:hAnsiTheme="majorHAnsi" w:cstheme="majorBidi"/>
      <w:bCs w:val="0"/>
      <w:color w:val="1F4D78" w:themeColor="accent1" w:themeShade="7F"/>
      <w:sz w:val="22"/>
      <w:szCs w:val="22"/>
    </w:rPr>
  </w:style>
  <w:style w:type="paragraph" w:styleId="Heading7">
    <w:name w:val="heading 7"/>
    <w:basedOn w:val="Normal"/>
    <w:next w:val="Normal"/>
    <w:link w:val="Heading7Char"/>
    <w:uiPriority w:val="9"/>
    <w:semiHidden/>
    <w:unhideWhenUsed/>
    <w:qFormat/>
    <w:rsid w:val="002A6BF1"/>
    <w:pPr>
      <w:keepNext/>
      <w:keepLines/>
      <w:spacing w:before="40" w:line="259" w:lineRule="auto"/>
      <w:outlineLvl w:val="6"/>
    </w:pPr>
    <w:rPr>
      <w:rFonts w:asciiTheme="majorHAnsi" w:eastAsiaTheme="majorEastAsia" w:hAnsiTheme="majorHAnsi" w:cstheme="majorBidi"/>
      <w:bCs w:val="0"/>
      <w:i/>
      <w:iCs/>
      <w:color w:val="1F4D78" w:themeColor="accent1" w:themeShade="7F"/>
      <w:sz w:val="22"/>
      <w:szCs w:val="22"/>
    </w:rPr>
  </w:style>
  <w:style w:type="paragraph" w:styleId="Heading8">
    <w:name w:val="heading 8"/>
    <w:basedOn w:val="Normal"/>
    <w:next w:val="Normal"/>
    <w:link w:val="Heading8Char"/>
    <w:uiPriority w:val="9"/>
    <w:semiHidden/>
    <w:unhideWhenUsed/>
    <w:qFormat/>
    <w:rsid w:val="002A6BF1"/>
    <w:pPr>
      <w:keepNext/>
      <w:keepLines/>
      <w:spacing w:before="40" w:line="259" w:lineRule="auto"/>
      <w:outlineLvl w:val="7"/>
    </w:pPr>
    <w:rPr>
      <w:rFonts w:asciiTheme="majorHAnsi" w:eastAsiaTheme="majorEastAsia" w:hAnsiTheme="majorHAnsi" w:cstheme="majorBidi"/>
      <w:bCs w:val="0"/>
      <w:color w:val="272727" w:themeColor="text1" w:themeTint="D8"/>
      <w:sz w:val="21"/>
      <w:szCs w:val="21"/>
    </w:rPr>
  </w:style>
  <w:style w:type="paragraph" w:styleId="Heading9">
    <w:name w:val="heading 9"/>
    <w:basedOn w:val="Normal"/>
    <w:next w:val="Normal"/>
    <w:link w:val="Heading9Char"/>
    <w:uiPriority w:val="9"/>
    <w:semiHidden/>
    <w:unhideWhenUsed/>
    <w:qFormat/>
    <w:rsid w:val="002A6BF1"/>
    <w:pPr>
      <w:keepNext/>
      <w:keepLines/>
      <w:spacing w:before="40" w:line="259" w:lineRule="auto"/>
      <w:outlineLvl w:val="8"/>
    </w:pPr>
    <w:rPr>
      <w:rFonts w:asciiTheme="majorHAnsi" w:eastAsiaTheme="majorEastAsia" w:hAnsiTheme="majorHAnsi" w:cstheme="majorBidi"/>
      <w:bCs w:val="0"/>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6DB"/>
    <w:rPr>
      <w:rFonts w:ascii="Arial" w:eastAsiaTheme="majorEastAsia" w:hAnsi="Arial" w:cstheme="majorBidi"/>
      <w:b/>
      <w:color w:val="005EB8"/>
      <w:sz w:val="32"/>
      <w:szCs w:val="32"/>
    </w:rPr>
  </w:style>
  <w:style w:type="character" w:customStyle="1" w:styleId="Heading2Char">
    <w:name w:val="Heading 2 Char"/>
    <w:basedOn w:val="DefaultParagraphFont"/>
    <w:link w:val="Heading2"/>
    <w:uiPriority w:val="9"/>
    <w:rsid w:val="00CD26DB"/>
    <w:rPr>
      <w:rFonts w:ascii="Arial" w:eastAsiaTheme="majorEastAsia" w:hAnsi="Arial" w:cstheme="majorBidi"/>
      <w:b/>
      <w:color w:val="7C2855"/>
      <w:sz w:val="28"/>
      <w:szCs w:val="26"/>
    </w:rPr>
  </w:style>
  <w:style w:type="character" w:customStyle="1" w:styleId="Heading3Char">
    <w:name w:val="Heading 3 Char"/>
    <w:basedOn w:val="DefaultParagraphFont"/>
    <w:link w:val="Heading3"/>
    <w:uiPriority w:val="9"/>
    <w:rsid w:val="000B5F9D"/>
    <w:rPr>
      <w:rFonts w:ascii="Arial" w:eastAsiaTheme="majorEastAsia" w:hAnsi="Arial" w:cstheme="majorBidi"/>
      <w:b/>
      <w:color w:val="000000" w:themeColor="text1"/>
      <w:sz w:val="24"/>
      <w:szCs w:val="24"/>
    </w:rPr>
  </w:style>
  <w:style w:type="character" w:customStyle="1" w:styleId="Heading4Char">
    <w:name w:val="Heading 4 Char"/>
    <w:basedOn w:val="DefaultParagraphFont"/>
    <w:link w:val="Heading4"/>
    <w:uiPriority w:val="9"/>
    <w:semiHidden/>
    <w:rsid w:val="002A6BF1"/>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rsid w:val="002A6BF1"/>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2A6BF1"/>
    <w:rPr>
      <w:rFonts w:asciiTheme="majorHAnsi" w:eastAsiaTheme="majorEastAsia" w:hAnsiTheme="majorHAnsi" w:cstheme="majorBidi"/>
      <w:color w:val="1F4D78" w:themeColor="accent1" w:themeShade="7F"/>
      <w:lang w:val="en-GB"/>
    </w:rPr>
  </w:style>
  <w:style w:type="character" w:customStyle="1" w:styleId="Heading7Char">
    <w:name w:val="Heading 7 Char"/>
    <w:basedOn w:val="DefaultParagraphFont"/>
    <w:link w:val="Heading7"/>
    <w:uiPriority w:val="9"/>
    <w:semiHidden/>
    <w:rsid w:val="002A6BF1"/>
    <w:rPr>
      <w:rFonts w:asciiTheme="majorHAnsi" w:eastAsiaTheme="majorEastAsia" w:hAnsiTheme="majorHAnsi" w:cstheme="majorBidi"/>
      <w:i/>
      <w:iCs/>
      <w:color w:val="1F4D78" w:themeColor="accent1" w:themeShade="7F"/>
      <w:lang w:val="en-GB"/>
    </w:rPr>
  </w:style>
  <w:style w:type="character" w:customStyle="1" w:styleId="Heading8Char">
    <w:name w:val="Heading 8 Char"/>
    <w:basedOn w:val="DefaultParagraphFont"/>
    <w:link w:val="Heading8"/>
    <w:uiPriority w:val="9"/>
    <w:semiHidden/>
    <w:rsid w:val="002A6BF1"/>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uiPriority w:val="9"/>
    <w:semiHidden/>
    <w:rsid w:val="002A6BF1"/>
    <w:rPr>
      <w:rFonts w:asciiTheme="majorHAnsi" w:eastAsiaTheme="majorEastAsia" w:hAnsiTheme="majorHAnsi" w:cstheme="majorBidi"/>
      <w:i/>
      <w:iCs/>
      <w:color w:val="272727" w:themeColor="text1" w:themeTint="D8"/>
      <w:sz w:val="21"/>
      <w:szCs w:val="21"/>
      <w:lang w:val="en-GB"/>
    </w:rPr>
  </w:style>
  <w:style w:type="paragraph" w:styleId="BalloonText">
    <w:name w:val="Balloon Text"/>
    <w:basedOn w:val="Normal"/>
    <w:link w:val="BalloonTextChar"/>
    <w:uiPriority w:val="99"/>
    <w:semiHidden/>
    <w:unhideWhenUsed/>
    <w:rsid w:val="002A6BF1"/>
    <w:rPr>
      <w:rFonts w:ascii="Segoe UI" w:eastAsiaTheme="minorHAnsi" w:hAnsi="Segoe UI" w:cs="Segoe UI"/>
      <w:bCs w:val="0"/>
      <w:sz w:val="18"/>
      <w:szCs w:val="18"/>
    </w:rPr>
  </w:style>
  <w:style w:type="character" w:customStyle="1" w:styleId="BalloonTextChar">
    <w:name w:val="Balloon Text Char"/>
    <w:basedOn w:val="DefaultParagraphFont"/>
    <w:link w:val="BalloonText"/>
    <w:uiPriority w:val="99"/>
    <w:semiHidden/>
    <w:rsid w:val="002A6BF1"/>
    <w:rPr>
      <w:rFonts w:ascii="Segoe UI" w:hAnsi="Segoe UI" w:cs="Segoe UI"/>
      <w:sz w:val="18"/>
      <w:szCs w:val="18"/>
      <w:lang w:val="en-GB"/>
    </w:rPr>
  </w:style>
  <w:style w:type="paragraph" w:styleId="Bibliography">
    <w:name w:val="Bibliography"/>
    <w:basedOn w:val="Normal"/>
    <w:next w:val="Normal"/>
    <w:uiPriority w:val="37"/>
    <w:semiHidden/>
    <w:unhideWhenUsed/>
    <w:rsid w:val="002A6BF1"/>
    <w:pPr>
      <w:spacing w:after="160" w:line="259" w:lineRule="auto"/>
    </w:pPr>
    <w:rPr>
      <w:rFonts w:asciiTheme="minorHAnsi" w:eastAsiaTheme="minorHAnsi" w:hAnsiTheme="minorHAnsi" w:cstheme="minorBidi"/>
      <w:bCs w:val="0"/>
      <w:sz w:val="22"/>
      <w:szCs w:val="22"/>
    </w:rPr>
  </w:style>
  <w:style w:type="paragraph" w:styleId="BlockText">
    <w:name w:val="Block Text"/>
    <w:basedOn w:val="Normal"/>
    <w:uiPriority w:val="99"/>
    <w:semiHidden/>
    <w:unhideWhenUsed/>
    <w:rsid w:val="002A6BF1"/>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spacing w:after="160" w:line="259" w:lineRule="auto"/>
      <w:ind w:left="1152" w:right="1152"/>
    </w:pPr>
    <w:rPr>
      <w:rFonts w:asciiTheme="minorHAnsi" w:eastAsiaTheme="minorEastAsia" w:hAnsiTheme="minorHAnsi" w:cstheme="minorBidi"/>
      <w:bCs w:val="0"/>
      <w:i/>
      <w:iCs/>
      <w:color w:val="5B9BD5" w:themeColor="accent1"/>
      <w:sz w:val="22"/>
      <w:szCs w:val="22"/>
    </w:rPr>
  </w:style>
  <w:style w:type="paragraph" w:styleId="BodyText">
    <w:name w:val="Body Text"/>
    <w:basedOn w:val="Normal"/>
    <w:link w:val="BodyTextChar"/>
    <w:uiPriority w:val="99"/>
    <w:semiHidden/>
    <w:unhideWhenUsed/>
    <w:rsid w:val="002A6BF1"/>
    <w:pPr>
      <w:spacing w:line="259" w:lineRule="auto"/>
    </w:pPr>
    <w:rPr>
      <w:rFonts w:asciiTheme="minorHAnsi" w:eastAsiaTheme="minorHAnsi" w:hAnsiTheme="minorHAnsi" w:cstheme="minorBidi"/>
      <w:bCs w:val="0"/>
      <w:sz w:val="22"/>
      <w:szCs w:val="22"/>
    </w:rPr>
  </w:style>
  <w:style w:type="character" w:customStyle="1" w:styleId="BodyTextChar">
    <w:name w:val="Body Text Char"/>
    <w:basedOn w:val="DefaultParagraphFont"/>
    <w:link w:val="BodyText"/>
    <w:uiPriority w:val="99"/>
    <w:semiHidden/>
    <w:rsid w:val="002A6BF1"/>
    <w:rPr>
      <w:lang w:val="en-GB"/>
    </w:rPr>
  </w:style>
  <w:style w:type="paragraph" w:styleId="BodyText2">
    <w:name w:val="Body Text 2"/>
    <w:basedOn w:val="Normal"/>
    <w:link w:val="BodyText2Char"/>
    <w:uiPriority w:val="99"/>
    <w:semiHidden/>
    <w:unhideWhenUsed/>
    <w:rsid w:val="002A6BF1"/>
    <w:pPr>
      <w:spacing w:line="480" w:lineRule="auto"/>
    </w:pPr>
    <w:rPr>
      <w:rFonts w:asciiTheme="minorHAnsi" w:eastAsiaTheme="minorHAnsi" w:hAnsiTheme="minorHAnsi" w:cstheme="minorBidi"/>
      <w:bCs w:val="0"/>
      <w:sz w:val="22"/>
      <w:szCs w:val="22"/>
    </w:rPr>
  </w:style>
  <w:style w:type="character" w:customStyle="1" w:styleId="BodyText2Char">
    <w:name w:val="Body Text 2 Char"/>
    <w:basedOn w:val="DefaultParagraphFont"/>
    <w:link w:val="BodyText2"/>
    <w:uiPriority w:val="99"/>
    <w:semiHidden/>
    <w:rsid w:val="002A6BF1"/>
    <w:rPr>
      <w:lang w:val="en-GB"/>
    </w:rPr>
  </w:style>
  <w:style w:type="paragraph" w:styleId="BodyText3">
    <w:name w:val="Body Text 3"/>
    <w:basedOn w:val="Normal"/>
    <w:link w:val="BodyText3Char"/>
    <w:uiPriority w:val="99"/>
    <w:semiHidden/>
    <w:unhideWhenUsed/>
    <w:rsid w:val="002A6BF1"/>
    <w:pPr>
      <w:spacing w:line="259" w:lineRule="auto"/>
    </w:pPr>
    <w:rPr>
      <w:rFonts w:asciiTheme="minorHAnsi" w:eastAsiaTheme="minorHAnsi" w:hAnsiTheme="minorHAnsi" w:cstheme="minorBidi"/>
      <w:bCs w:val="0"/>
      <w:sz w:val="16"/>
      <w:szCs w:val="16"/>
    </w:rPr>
  </w:style>
  <w:style w:type="character" w:customStyle="1" w:styleId="BodyText3Char">
    <w:name w:val="Body Text 3 Char"/>
    <w:basedOn w:val="DefaultParagraphFont"/>
    <w:link w:val="BodyText3"/>
    <w:uiPriority w:val="99"/>
    <w:semiHidden/>
    <w:rsid w:val="002A6BF1"/>
    <w:rPr>
      <w:sz w:val="16"/>
      <w:szCs w:val="16"/>
      <w:lang w:val="en-GB"/>
    </w:rPr>
  </w:style>
  <w:style w:type="paragraph" w:styleId="BodyTextFirstIndent">
    <w:name w:val="Body Text First Indent"/>
    <w:basedOn w:val="BodyText"/>
    <w:link w:val="BodyTextFirstIndentChar"/>
    <w:uiPriority w:val="99"/>
    <w:semiHidden/>
    <w:unhideWhenUsed/>
    <w:rsid w:val="002A6BF1"/>
    <w:pPr>
      <w:spacing w:after="160"/>
      <w:ind w:firstLine="360"/>
    </w:pPr>
  </w:style>
  <w:style w:type="character" w:customStyle="1" w:styleId="BodyTextFirstIndentChar">
    <w:name w:val="Body Text First Indent Char"/>
    <w:basedOn w:val="BodyTextChar"/>
    <w:link w:val="BodyTextFirstIndent"/>
    <w:uiPriority w:val="99"/>
    <w:semiHidden/>
    <w:rsid w:val="002A6BF1"/>
    <w:rPr>
      <w:lang w:val="en-GB"/>
    </w:rPr>
  </w:style>
  <w:style w:type="paragraph" w:styleId="BodyTextIndent">
    <w:name w:val="Body Text Indent"/>
    <w:basedOn w:val="Normal"/>
    <w:link w:val="BodyTextIndentChar"/>
    <w:uiPriority w:val="99"/>
    <w:semiHidden/>
    <w:unhideWhenUsed/>
    <w:rsid w:val="002A6BF1"/>
    <w:pPr>
      <w:spacing w:line="259" w:lineRule="auto"/>
      <w:ind w:left="283"/>
    </w:pPr>
    <w:rPr>
      <w:rFonts w:asciiTheme="minorHAnsi" w:eastAsiaTheme="minorHAnsi" w:hAnsiTheme="minorHAnsi" w:cstheme="minorBidi"/>
      <w:bCs w:val="0"/>
      <w:sz w:val="22"/>
      <w:szCs w:val="22"/>
    </w:rPr>
  </w:style>
  <w:style w:type="character" w:customStyle="1" w:styleId="BodyTextIndentChar">
    <w:name w:val="Body Text Indent Char"/>
    <w:basedOn w:val="DefaultParagraphFont"/>
    <w:link w:val="BodyTextIndent"/>
    <w:uiPriority w:val="99"/>
    <w:semiHidden/>
    <w:rsid w:val="002A6BF1"/>
    <w:rPr>
      <w:lang w:val="en-GB"/>
    </w:rPr>
  </w:style>
  <w:style w:type="paragraph" w:styleId="BodyTextFirstIndent2">
    <w:name w:val="Body Text First Indent 2"/>
    <w:basedOn w:val="BodyTextIndent"/>
    <w:link w:val="BodyTextFirstIndent2Char"/>
    <w:uiPriority w:val="99"/>
    <w:semiHidden/>
    <w:unhideWhenUsed/>
    <w:rsid w:val="002A6BF1"/>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2A6BF1"/>
    <w:rPr>
      <w:lang w:val="en-GB"/>
    </w:rPr>
  </w:style>
  <w:style w:type="paragraph" w:styleId="BodyTextIndent2">
    <w:name w:val="Body Text Indent 2"/>
    <w:basedOn w:val="Normal"/>
    <w:link w:val="BodyTextIndent2Char"/>
    <w:uiPriority w:val="99"/>
    <w:semiHidden/>
    <w:unhideWhenUsed/>
    <w:rsid w:val="002A6BF1"/>
    <w:pPr>
      <w:spacing w:line="480" w:lineRule="auto"/>
      <w:ind w:left="283"/>
    </w:pPr>
    <w:rPr>
      <w:rFonts w:asciiTheme="minorHAnsi" w:eastAsiaTheme="minorHAnsi" w:hAnsiTheme="minorHAnsi" w:cstheme="minorBidi"/>
      <w:bCs w:val="0"/>
      <w:sz w:val="22"/>
      <w:szCs w:val="22"/>
    </w:rPr>
  </w:style>
  <w:style w:type="character" w:customStyle="1" w:styleId="BodyTextIndent2Char">
    <w:name w:val="Body Text Indent 2 Char"/>
    <w:basedOn w:val="DefaultParagraphFont"/>
    <w:link w:val="BodyTextIndent2"/>
    <w:uiPriority w:val="99"/>
    <w:semiHidden/>
    <w:rsid w:val="002A6BF1"/>
    <w:rPr>
      <w:lang w:val="en-GB"/>
    </w:rPr>
  </w:style>
  <w:style w:type="paragraph" w:styleId="BodyTextIndent3">
    <w:name w:val="Body Text Indent 3"/>
    <w:basedOn w:val="Normal"/>
    <w:link w:val="BodyTextIndent3Char"/>
    <w:uiPriority w:val="99"/>
    <w:semiHidden/>
    <w:unhideWhenUsed/>
    <w:rsid w:val="002A6BF1"/>
    <w:pPr>
      <w:spacing w:line="259" w:lineRule="auto"/>
      <w:ind w:left="283"/>
    </w:pPr>
    <w:rPr>
      <w:rFonts w:asciiTheme="minorHAnsi" w:eastAsiaTheme="minorHAnsi" w:hAnsiTheme="minorHAnsi" w:cstheme="minorBidi"/>
      <w:bCs w:val="0"/>
      <w:sz w:val="16"/>
      <w:szCs w:val="16"/>
    </w:rPr>
  </w:style>
  <w:style w:type="character" w:customStyle="1" w:styleId="BodyTextIndent3Char">
    <w:name w:val="Body Text Indent 3 Char"/>
    <w:basedOn w:val="DefaultParagraphFont"/>
    <w:link w:val="BodyTextIndent3"/>
    <w:uiPriority w:val="99"/>
    <w:semiHidden/>
    <w:rsid w:val="002A6BF1"/>
    <w:rPr>
      <w:sz w:val="16"/>
      <w:szCs w:val="16"/>
      <w:lang w:val="en-GB"/>
    </w:rPr>
  </w:style>
  <w:style w:type="character" w:styleId="BookTitle">
    <w:name w:val="Book Title"/>
    <w:aliases w:val="Cover Sub heading"/>
    <w:basedOn w:val="DefaultParagraphFont"/>
    <w:uiPriority w:val="69"/>
    <w:qFormat/>
    <w:rsid w:val="002A6BF1"/>
    <w:rPr>
      <w:b/>
      <w:bCs/>
      <w:i/>
      <w:iCs/>
      <w:spacing w:val="5"/>
      <w:lang w:val="en-GB"/>
    </w:rPr>
  </w:style>
  <w:style w:type="paragraph" w:styleId="Caption">
    <w:name w:val="caption"/>
    <w:basedOn w:val="Normal"/>
    <w:next w:val="Normal"/>
    <w:uiPriority w:val="35"/>
    <w:semiHidden/>
    <w:unhideWhenUsed/>
    <w:qFormat/>
    <w:rsid w:val="002A6BF1"/>
    <w:pPr>
      <w:spacing w:after="200"/>
    </w:pPr>
    <w:rPr>
      <w:rFonts w:asciiTheme="minorHAnsi" w:eastAsiaTheme="minorHAnsi" w:hAnsiTheme="minorHAnsi" w:cstheme="minorBidi"/>
      <w:bCs w:val="0"/>
      <w:i/>
      <w:iCs/>
      <w:color w:val="44546A" w:themeColor="text2"/>
      <w:sz w:val="18"/>
      <w:szCs w:val="18"/>
    </w:rPr>
  </w:style>
  <w:style w:type="paragraph" w:styleId="Closing">
    <w:name w:val="Closing"/>
    <w:basedOn w:val="Normal"/>
    <w:link w:val="ClosingChar"/>
    <w:uiPriority w:val="99"/>
    <w:semiHidden/>
    <w:unhideWhenUsed/>
    <w:rsid w:val="002A6BF1"/>
    <w:pPr>
      <w:ind w:left="4252"/>
    </w:pPr>
    <w:rPr>
      <w:rFonts w:asciiTheme="minorHAnsi" w:eastAsiaTheme="minorHAnsi" w:hAnsiTheme="minorHAnsi" w:cstheme="minorBidi"/>
      <w:bCs w:val="0"/>
      <w:sz w:val="22"/>
      <w:szCs w:val="22"/>
    </w:rPr>
  </w:style>
  <w:style w:type="character" w:customStyle="1" w:styleId="ClosingChar">
    <w:name w:val="Closing Char"/>
    <w:basedOn w:val="DefaultParagraphFont"/>
    <w:link w:val="Closing"/>
    <w:uiPriority w:val="99"/>
    <w:semiHidden/>
    <w:rsid w:val="002A6BF1"/>
    <w:rPr>
      <w:lang w:val="en-GB"/>
    </w:rPr>
  </w:style>
  <w:style w:type="table" w:styleId="ColorfulGrid">
    <w:name w:val="Colorful Grid"/>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2A6BF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2A6BF1"/>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6BF1"/>
    <w:pPr>
      <w:spacing w:after="0" w:line="240" w:lineRule="auto"/>
    </w:pPr>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6BF1"/>
    <w:rPr>
      <w:sz w:val="16"/>
      <w:szCs w:val="16"/>
      <w:lang w:val="en-GB"/>
    </w:rPr>
  </w:style>
  <w:style w:type="paragraph" w:styleId="CommentText">
    <w:name w:val="annotation text"/>
    <w:basedOn w:val="Normal"/>
    <w:link w:val="CommentTextChar"/>
    <w:uiPriority w:val="99"/>
    <w:unhideWhenUsed/>
    <w:rsid w:val="002A6BF1"/>
    <w:pPr>
      <w:spacing w:after="160"/>
    </w:pPr>
    <w:rPr>
      <w:rFonts w:asciiTheme="minorHAnsi" w:eastAsiaTheme="minorHAnsi" w:hAnsiTheme="minorHAnsi" w:cstheme="minorBidi"/>
      <w:bCs w:val="0"/>
      <w:sz w:val="20"/>
      <w:szCs w:val="20"/>
    </w:rPr>
  </w:style>
  <w:style w:type="character" w:customStyle="1" w:styleId="CommentTextChar">
    <w:name w:val="Comment Text Char"/>
    <w:basedOn w:val="DefaultParagraphFont"/>
    <w:link w:val="CommentText"/>
    <w:uiPriority w:val="99"/>
    <w:rsid w:val="002A6BF1"/>
    <w:rPr>
      <w:sz w:val="20"/>
      <w:szCs w:val="20"/>
      <w:lang w:val="en-GB"/>
    </w:rPr>
  </w:style>
  <w:style w:type="paragraph" w:styleId="CommentSubject">
    <w:name w:val="annotation subject"/>
    <w:basedOn w:val="CommentText"/>
    <w:next w:val="CommentText"/>
    <w:link w:val="CommentSubjectChar"/>
    <w:uiPriority w:val="99"/>
    <w:semiHidden/>
    <w:unhideWhenUsed/>
    <w:rsid w:val="002A6BF1"/>
    <w:rPr>
      <w:b/>
      <w:bCs/>
    </w:rPr>
  </w:style>
  <w:style w:type="character" w:customStyle="1" w:styleId="CommentSubjectChar">
    <w:name w:val="Comment Subject Char"/>
    <w:basedOn w:val="CommentTextChar"/>
    <w:link w:val="CommentSubject"/>
    <w:uiPriority w:val="99"/>
    <w:semiHidden/>
    <w:rsid w:val="002A6BF1"/>
    <w:rPr>
      <w:b/>
      <w:bCs/>
      <w:sz w:val="20"/>
      <w:szCs w:val="20"/>
      <w:lang w:val="en-GB"/>
    </w:rPr>
  </w:style>
  <w:style w:type="table" w:styleId="DarkList">
    <w:name w:val="Dark List"/>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2A6BF1"/>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2A6BF1"/>
    <w:pPr>
      <w:spacing w:after="160" w:line="259" w:lineRule="auto"/>
    </w:pPr>
    <w:rPr>
      <w:rFonts w:asciiTheme="minorHAnsi" w:eastAsiaTheme="minorHAnsi" w:hAnsiTheme="minorHAnsi" w:cstheme="minorBidi"/>
      <w:bCs w:val="0"/>
      <w:sz w:val="22"/>
      <w:szCs w:val="22"/>
    </w:rPr>
  </w:style>
  <w:style w:type="character" w:customStyle="1" w:styleId="DateChar">
    <w:name w:val="Date Char"/>
    <w:basedOn w:val="DefaultParagraphFont"/>
    <w:link w:val="Date"/>
    <w:uiPriority w:val="99"/>
    <w:semiHidden/>
    <w:rsid w:val="002A6BF1"/>
    <w:rPr>
      <w:lang w:val="en-GB"/>
    </w:rPr>
  </w:style>
  <w:style w:type="paragraph" w:styleId="DocumentMap">
    <w:name w:val="Document Map"/>
    <w:basedOn w:val="Normal"/>
    <w:link w:val="DocumentMapChar"/>
    <w:uiPriority w:val="99"/>
    <w:semiHidden/>
    <w:unhideWhenUsed/>
    <w:rsid w:val="002A6BF1"/>
    <w:rPr>
      <w:rFonts w:ascii="Segoe UI" w:eastAsiaTheme="minorHAnsi" w:hAnsi="Segoe UI" w:cs="Segoe UI"/>
      <w:bCs w:val="0"/>
      <w:sz w:val="16"/>
      <w:szCs w:val="16"/>
    </w:rPr>
  </w:style>
  <w:style w:type="character" w:customStyle="1" w:styleId="DocumentMapChar">
    <w:name w:val="Document Map Char"/>
    <w:basedOn w:val="DefaultParagraphFont"/>
    <w:link w:val="DocumentMap"/>
    <w:uiPriority w:val="99"/>
    <w:semiHidden/>
    <w:rsid w:val="002A6BF1"/>
    <w:rPr>
      <w:rFonts w:ascii="Segoe UI" w:hAnsi="Segoe UI" w:cs="Segoe UI"/>
      <w:sz w:val="16"/>
      <w:szCs w:val="16"/>
      <w:lang w:val="en-GB"/>
    </w:rPr>
  </w:style>
  <w:style w:type="paragraph" w:styleId="E-mailSignature">
    <w:name w:val="E-mail Signature"/>
    <w:basedOn w:val="Normal"/>
    <w:link w:val="E-mailSignatureChar"/>
    <w:uiPriority w:val="99"/>
    <w:semiHidden/>
    <w:unhideWhenUsed/>
    <w:rsid w:val="002A6BF1"/>
    <w:rPr>
      <w:rFonts w:asciiTheme="minorHAnsi" w:eastAsiaTheme="minorHAnsi" w:hAnsiTheme="minorHAnsi" w:cstheme="minorBidi"/>
      <w:bCs w:val="0"/>
      <w:sz w:val="22"/>
      <w:szCs w:val="22"/>
    </w:rPr>
  </w:style>
  <w:style w:type="character" w:customStyle="1" w:styleId="E-mailSignatureChar">
    <w:name w:val="E-mail Signature Char"/>
    <w:basedOn w:val="DefaultParagraphFont"/>
    <w:link w:val="E-mailSignature"/>
    <w:uiPriority w:val="99"/>
    <w:semiHidden/>
    <w:rsid w:val="002A6BF1"/>
    <w:rPr>
      <w:lang w:val="en-GB"/>
    </w:rPr>
  </w:style>
  <w:style w:type="character" w:styleId="Emphasis">
    <w:name w:val="Emphasis"/>
    <w:basedOn w:val="DefaultParagraphFont"/>
    <w:uiPriority w:val="20"/>
    <w:qFormat/>
    <w:rsid w:val="002A6BF1"/>
    <w:rPr>
      <w:i/>
      <w:iCs/>
      <w:lang w:val="en-GB"/>
    </w:rPr>
  </w:style>
  <w:style w:type="character" w:styleId="EndnoteReference">
    <w:name w:val="endnote reference"/>
    <w:basedOn w:val="DefaultParagraphFont"/>
    <w:uiPriority w:val="99"/>
    <w:semiHidden/>
    <w:unhideWhenUsed/>
    <w:rsid w:val="002A6BF1"/>
    <w:rPr>
      <w:vertAlign w:val="superscript"/>
      <w:lang w:val="en-GB"/>
    </w:rPr>
  </w:style>
  <w:style w:type="paragraph" w:styleId="EndnoteText">
    <w:name w:val="endnote text"/>
    <w:basedOn w:val="Normal"/>
    <w:link w:val="EndnoteTextChar"/>
    <w:uiPriority w:val="99"/>
    <w:semiHidden/>
    <w:unhideWhenUsed/>
    <w:rsid w:val="002A6BF1"/>
    <w:rPr>
      <w:rFonts w:asciiTheme="minorHAnsi" w:eastAsiaTheme="minorHAnsi" w:hAnsiTheme="minorHAnsi" w:cstheme="minorBidi"/>
      <w:bCs w:val="0"/>
      <w:sz w:val="20"/>
      <w:szCs w:val="20"/>
    </w:rPr>
  </w:style>
  <w:style w:type="character" w:customStyle="1" w:styleId="EndnoteTextChar">
    <w:name w:val="Endnote Text Char"/>
    <w:basedOn w:val="DefaultParagraphFont"/>
    <w:link w:val="EndnoteText"/>
    <w:uiPriority w:val="99"/>
    <w:semiHidden/>
    <w:rsid w:val="002A6BF1"/>
    <w:rPr>
      <w:sz w:val="20"/>
      <w:szCs w:val="20"/>
      <w:lang w:val="en-GB"/>
    </w:rPr>
  </w:style>
  <w:style w:type="paragraph" w:styleId="EnvelopeAddress">
    <w:name w:val="envelope address"/>
    <w:basedOn w:val="Normal"/>
    <w:uiPriority w:val="99"/>
    <w:semiHidden/>
    <w:unhideWhenUsed/>
    <w:rsid w:val="002A6BF1"/>
    <w:pPr>
      <w:framePr w:w="7920" w:h="1980" w:hRule="exact" w:hSpace="180" w:wrap="auto" w:hAnchor="page" w:xAlign="center" w:yAlign="bottom"/>
      <w:ind w:left="2880"/>
    </w:pPr>
    <w:rPr>
      <w:rFonts w:asciiTheme="majorHAnsi" w:eastAsiaTheme="majorEastAsia" w:hAnsiTheme="majorHAnsi" w:cstheme="majorBidi"/>
      <w:bCs w:val="0"/>
      <w:szCs w:val="24"/>
    </w:rPr>
  </w:style>
  <w:style w:type="paragraph" w:styleId="EnvelopeReturn">
    <w:name w:val="envelope return"/>
    <w:basedOn w:val="Normal"/>
    <w:uiPriority w:val="99"/>
    <w:semiHidden/>
    <w:unhideWhenUsed/>
    <w:rsid w:val="002A6BF1"/>
    <w:rPr>
      <w:rFonts w:asciiTheme="majorHAnsi" w:eastAsiaTheme="majorEastAsia" w:hAnsiTheme="majorHAnsi" w:cstheme="majorBidi"/>
      <w:bCs w:val="0"/>
      <w:sz w:val="20"/>
      <w:szCs w:val="20"/>
    </w:rPr>
  </w:style>
  <w:style w:type="character" w:styleId="FollowedHyperlink">
    <w:name w:val="FollowedHyperlink"/>
    <w:basedOn w:val="DefaultParagraphFont"/>
    <w:uiPriority w:val="99"/>
    <w:semiHidden/>
    <w:unhideWhenUsed/>
    <w:rsid w:val="002A6BF1"/>
    <w:rPr>
      <w:color w:val="954F72" w:themeColor="followedHyperlink"/>
      <w:u w:val="single"/>
      <w:lang w:val="en-GB"/>
    </w:rPr>
  </w:style>
  <w:style w:type="paragraph" w:styleId="Footer">
    <w:name w:val="footer"/>
    <w:basedOn w:val="Normal"/>
    <w:link w:val="FooterChar"/>
    <w:uiPriority w:val="99"/>
    <w:unhideWhenUsed/>
    <w:rsid w:val="002A6BF1"/>
    <w:pPr>
      <w:tabs>
        <w:tab w:val="center" w:pos="4513"/>
        <w:tab w:val="right" w:pos="9026"/>
      </w:tabs>
    </w:pPr>
    <w:rPr>
      <w:rFonts w:asciiTheme="minorHAnsi" w:eastAsiaTheme="minorHAnsi" w:hAnsiTheme="minorHAnsi" w:cstheme="minorBidi"/>
      <w:bCs w:val="0"/>
      <w:sz w:val="22"/>
      <w:szCs w:val="22"/>
    </w:rPr>
  </w:style>
  <w:style w:type="character" w:customStyle="1" w:styleId="FooterChar">
    <w:name w:val="Footer Char"/>
    <w:basedOn w:val="DefaultParagraphFont"/>
    <w:link w:val="Footer"/>
    <w:uiPriority w:val="99"/>
    <w:rsid w:val="002A6BF1"/>
    <w:rPr>
      <w:lang w:val="en-GB"/>
    </w:rPr>
  </w:style>
  <w:style w:type="character" w:styleId="FootnoteReference">
    <w:name w:val="footnote reference"/>
    <w:basedOn w:val="DefaultParagraphFont"/>
    <w:uiPriority w:val="99"/>
    <w:unhideWhenUsed/>
    <w:rsid w:val="002A6BF1"/>
    <w:rPr>
      <w:vertAlign w:val="superscript"/>
      <w:lang w:val="en-GB"/>
    </w:rPr>
  </w:style>
  <w:style w:type="paragraph" w:styleId="FootnoteText">
    <w:name w:val="footnote text"/>
    <w:basedOn w:val="Normal"/>
    <w:link w:val="FootnoteTextChar"/>
    <w:uiPriority w:val="99"/>
    <w:unhideWhenUsed/>
    <w:rsid w:val="002A6BF1"/>
    <w:rPr>
      <w:rFonts w:asciiTheme="minorHAnsi" w:eastAsiaTheme="minorHAnsi" w:hAnsiTheme="minorHAnsi" w:cstheme="minorBidi"/>
      <w:bCs w:val="0"/>
      <w:sz w:val="20"/>
      <w:szCs w:val="20"/>
    </w:rPr>
  </w:style>
  <w:style w:type="character" w:customStyle="1" w:styleId="FootnoteTextChar">
    <w:name w:val="Footnote Text Char"/>
    <w:basedOn w:val="DefaultParagraphFont"/>
    <w:link w:val="FootnoteText"/>
    <w:uiPriority w:val="99"/>
    <w:rsid w:val="002A6BF1"/>
    <w:rPr>
      <w:sz w:val="20"/>
      <w:szCs w:val="20"/>
      <w:lang w:val="en-GB"/>
    </w:rPr>
  </w:style>
  <w:style w:type="table" w:customStyle="1" w:styleId="GridTable1Light1">
    <w:name w:val="Grid Table 1 Light1"/>
    <w:basedOn w:val="TableNormal"/>
    <w:uiPriority w:val="46"/>
    <w:rsid w:val="002A6B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A6BF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2A6BF1"/>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2A6BF1"/>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2A6BF1"/>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2A6BF1"/>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2A6BF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A6BF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2A6BF1"/>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2-Accent21">
    <w:name w:val="Grid Table 2 - Accent 21"/>
    <w:basedOn w:val="TableNormal"/>
    <w:uiPriority w:val="47"/>
    <w:rsid w:val="002A6BF1"/>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2A6BF1"/>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2A6BF1"/>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2A6BF1"/>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2-Accent61">
    <w:name w:val="Grid Table 2 - Accent 61"/>
    <w:basedOn w:val="TableNormal"/>
    <w:uiPriority w:val="47"/>
    <w:rsid w:val="002A6BF1"/>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3-Accent21">
    <w:name w:val="Grid Table 3 - Accent 21"/>
    <w:basedOn w:val="TableNormal"/>
    <w:uiPriority w:val="48"/>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3-Accent61">
    <w:name w:val="Grid Table 3 - Accent 61"/>
    <w:basedOn w:val="TableNormal"/>
    <w:uiPriority w:val="48"/>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4-Accent21">
    <w:name w:val="Grid Table 4 - Accent 21"/>
    <w:basedOn w:val="TableNormal"/>
    <w:uiPriority w:val="49"/>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4-Accent61">
    <w:name w:val="Grid Table 4 - Accent 61"/>
    <w:basedOn w:val="TableNormal"/>
    <w:uiPriority w:val="49"/>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customStyle="1" w:styleId="GridTable5Dark-Accent21">
    <w:name w:val="Grid Table 5 Dark - Accent 2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61">
    <w:name w:val="Grid Table 5 Dark - Accent 61"/>
    <w:basedOn w:val="TableNormal"/>
    <w:uiPriority w:val="50"/>
    <w:rsid w:val="002A6B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2A6B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2A6BF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GridTable6Colorful-Accent21">
    <w:name w:val="Grid Table 6 Colorful - Accent 21"/>
    <w:basedOn w:val="TableNormal"/>
    <w:uiPriority w:val="51"/>
    <w:rsid w:val="002A6BF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2A6BF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2A6BF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2A6B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6Colorful-Accent61">
    <w:name w:val="Grid Table 6 Colorful - Accent 61"/>
    <w:basedOn w:val="TableNormal"/>
    <w:uiPriority w:val="51"/>
    <w:rsid w:val="002A6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2A6BF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2A6BF1"/>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customStyle="1" w:styleId="GridTable7Colorful-Accent21">
    <w:name w:val="Grid Table 7 Colorful - Accent 21"/>
    <w:basedOn w:val="TableNormal"/>
    <w:uiPriority w:val="52"/>
    <w:rsid w:val="002A6BF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2A6BF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2A6BF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2A6BF1"/>
    <w:pPr>
      <w:spacing w:after="0" w:line="240" w:lineRule="auto"/>
    </w:pPr>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customStyle="1" w:styleId="GridTable7Colorful-Accent61">
    <w:name w:val="Grid Table 7 Colorful - Accent 61"/>
    <w:basedOn w:val="TableNormal"/>
    <w:uiPriority w:val="52"/>
    <w:rsid w:val="002A6BF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Header">
    <w:name w:val="header"/>
    <w:basedOn w:val="Normal"/>
    <w:link w:val="HeaderChar"/>
    <w:uiPriority w:val="99"/>
    <w:unhideWhenUsed/>
    <w:rsid w:val="002A6BF1"/>
    <w:pPr>
      <w:tabs>
        <w:tab w:val="center" w:pos="4513"/>
        <w:tab w:val="right" w:pos="9026"/>
      </w:tabs>
    </w:pPr>
    <w:rPr>
      <w:rFonts w:asciiTheme="minorHAnsi" w:eastAsiaTheme="minorHAnsi" w:hAnsiTheme="minorHAnsi" w:cstheme="minorBidi"/>
      <w:bCs w:val="0"/>
      <w:sz w:val="22"/>
      <w:szCs w:val="22"/>
    </w:rPr>
  </w:style>
  <w:style w:type="character" w:customStyle="1" w:styleId="HeaderChar">
    <w:name w:val="Header Char"/>
    <w:basedOn w:val="DefaultParagraphFont"/>
    <w:link w:val="Header"/>
    <w:uiPriority w:val="99"/>
    <w:rsid w:val="002A6BF1"/>
    <w:rPr>
      <w:lang w:val="en-GB"/>
    </w:rPr>
  </w:style>
  <w:style w:type="character" w:styleId="HTMLAcronym">
    <w:name w:val="HTML Acronym"/>
    <w:basedOn w:val="DefaultParagraphFont"/>
    <w:uiPriority w:val="99"/>
    <w:semiHidden/>
    <w:unhideWhenUsed/>
    <w:rsid w:val="002A6BF1"/>
    <w:rPr>
      <w:lang w:val="en-GB"/>
    </w:rPr>
  </w:style>
  <w:style w:type="paragraph" w:styleId="HTMLAddress">
    <w:name w:val="HTML Address"/>
    <w:basedOn w:val="Normal"/>
    <w:link w:val="HTMLAddressChar"/>
    <w:uiPriority w:val="99"/>
    <w:semiHidden/>
    <w:unhideWhenUsed/>
    <w:rsid w:val="002A6BF1"/>
    <w:rPr>
      <w:rFonts w:asciiTheme="minorHAnsi" w:eastAsiaTheme="minorHAnsi" w:hAnsiTheme="minorHAnsi" w:cstheme="minorBidi"/>
      <w:bCs w:val="0"/>
      <w:i/>
      <w:iCs/>
      <w:sz w:val="22"/>
      <w:szCs w:val="22"/>
    </w:rPr>
  </w:style>
  <w:style w:type="character" w:customStyle="1" w:styleId="HTMLAddressChar">
    <w:name w:val="HTML Address Char"/>
    <w:basedOn w:val="DefaultParagraphFont"/>
    <w:link w:val="HTMLAddress"/>
    <w:uiPriority w:val="99"/>
    <w:semiHidden/>
    <w:rsid w:val="002A6BF1"/>
    <w:rPr>
      <w:i/>
      <w:iCs/>
      <w:lang w:val="en-GB"/>
    </w:rPr>
  </w:style>
  <w:style w:type="character" w:styleId="HTMLCite">
    <w:name w:val="HTML Cite"/>
    <w:basedOn w:val="DefaultParagraphFont"/>
    <w:uiPriority w:val="99"/>
    <w:semiHidden/>
    <w:unhideWhenUsed/>
    <w:rsid w:val="002A6BF1"/>
    <w:rPr>
      <w:i/>
      <w:iCs/>
      <w:lang w:val="en-GB"/>
    </w:rPr>
  </w:style>
  <w:style w:type="character" w:styleId="HTMLCode">
    <w:name w:val="HTML Code"/>
    <w:basedOn w:val="DefaultParagraphFont"/>
    <w:uiPriority w:val="99"/>
    <w:semiHidden/>
    <w:unhideWhenUsed/>
    <w:rsid w:val="002A6BF1"/>
    <w:rPr>
      <w:rFonts w:ascii="Consolas" w:hAnsi="Consolas"/>
      <w:sz w:val="20"/>
      <w:szCs w:val="20"/>
      <w:lang w:val="en-GB"/>
    </w:rPr>
  </w:style>
  <w:style w:type="character" w:styleId="HTMLDefinition">
    <w:name w:val="HTML Definition"/>
    <w:basedOn w:val="DefaultParagraphFont"/>
    <w:uiPriority w:val="99"/>
    <w:semiHidden/>
    <w:unhideWhenUsed/>
    <w:rsid w:val="002A6BF1"/>
    <w:rPr>
      <w:i/>
      <w:iCs/>
      <w:lang w:val="en-GB"/>
    </w:rPr>
  </w:style>
  <w:style w:type="character" w:styleId="HTMLKeyboard">
    <w:name w:val="HTML Keyboard"/>
    <w:basedOn w:val="DefaultParagraphFont"/>
    <w:uiPriority w:val="99"/>
    <w:semiHidden/>
    <w:unhideWhenUsed/>
    <w:rsid w:val="002A6BF1"/>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2A6BF1"/>
    <w:rPr>
      <w:rFonts w:ascii="Consolas" w:eastAsiaTheme="minorHAnsi" w:hAnsi="Consolas" w:cstheme="minorBidi"/>
      <w:bCs w:val="0"/>
      <w:sz w:val="20"/>
      <w:szCs w:val="20"/>
    </w:rPr>
  </w:style>
  <w:style w:type="character" w:customStyle="1" w:styleId="HTMLPreformattedChar">
    <w:name w:val="HTML Preformatted Char"/>
    <w:basedOn w:val="DefaultParagraphFont"/>
    <w:link w:val="HTMLPreformatted"/>
    <w:uiPriority w:val="99"/>
    <w:semiHidden/>
    <w:rsid w:val="002A6BF1"/>
    <w:rPr>
      <w:rFonts w:ascii="Consolas" w:hAnsi="Consolas"/>
      <w:sz w:val="20"/>
      <w:szCs w:val="20"/>
      <w:lang w:val="en-GB"/>
    </w:rPr>
  </w:style>
  <w:style w:type="character" w:styleId="HTMLSample">
    <w:name w:val="HTML Sample"/>
    <w:basedOn w:val="DefaultParagraphFont"/>
    <w:uiPriority w:val="99"/>
    <w:semiHidden/>
    <w:unhideWhenUsed/>
    <w:rsid w:val="002A6BF1"/>
    <w:rPr>
      <w:rFonts w:ascii="Consolas" w:hAnsi="Consolas"/>
      <w:sz w:val="24"/>
      <w:szCs w:val="24"/>
      <w:lang w:val="en-GB"/>
    </w:rPr>
  </w:style>
  <w:style w:type="character" w:styleId="HTMLTypewriter">
    <w:name w:val="HTML Typewriter"/>
    <w:basedOn w:val="DefaultParagraphFont"/>
    <w:uiPriority w:val="99"/>
    <w:semiHidden/>
    <w:unhideWhenUsed/>
    <w:rsid w:val="002A6BF1"/>
    <w:rPr>
      <w:rFonts w:ascii="Consolas" w:hAnsi="Consolas"/>
      <w:sz w:val="20"/>
      <w:szCs w:val="20"/>
      <w:lang w:val="en-GB"/>
    </w:rPr>
  </w:style>
  <w:style w:type="character" w:styleId="HTMLVariable">
    <w:name w:val="HTML Variable"/>
    <w:basedOn w:val="DefaultParagraphFont"/>
    <w:uiPriority w:val="99"/>
    <w:semiHidden/>
    <w:unhideWhenUsed/>
    <w:rsid w:val="002A6BF1"/>
    <w:rPr>
      <w:i/>
      <w:iCs/>
      <w:lang w:val="en-GB"/>
    </w:rPr>
  </w:style>
  <w:style w:type="character" w:styleId="Hyperlink">
    <w:name w:val="Hyperlink"/>
    <w:basedOn w:val="DefaultParagraphFont"/>
    <w:uiPriority w:val="99"/>
    <w:unhideWhenUsed/>
    <w:rsid w:val="002A6BF1"/>
    <w:rPr>
      <w:color w:val="0563C1" w:themeColor="hyperlink"/>
      <w:u w:val="single"/>
      <w:lang w:val="en-GB"/>
    </w:rPr>
  </w:style>
  <w:style w:type="paragraph" w:styleId="Index1">
    <w:name w:val="index 1"/>
    <w:basedOn w:val="Normal"/>
    <w:next w:val="Normal"/>
    <w:autoRedefine/>
    <w:uiPriority w:val="99"/>
    <w:semiHidden/>
    <w:unhideWhenUsed/>
    <w:rsid w:val="002A6BF1"/>
    <w:pPr>
      <w:ind w:left="220" w:hanging="220"/>
    </w:pPr>
    <w:rPr>
      <w:rFonts w:asciiTheme="minorHAnsi" w:eastAsiaTheme="minorHAnsi" w:hAnsiTheme="minorHAnsi" w:cstheme="minorBidi"/>
      <w:bCs w:val="0"/>
      <w:sz w:val="22"/>
      <w:szCs w:val="22"/>
    </w:rPr>
  </w:style>
  <w:style w:type="paragraph" w:styleId="Index2">
    <w:name w:val="index 2"/>
    <w:basedOn w:val="Normal"/>
    <w:next w:val="Normal"/>
    <w:autoRedefine/>
    <w:uiPriority w:val="99"/>
    <w:semiHidden/>
    <w:unhideWhenUsed/>
    <w:rsid w:val="002A6BF1"/>
    <w:pPr>
      <w:ind w:left="440" w:hanging="220"/>
    </w:pPr>
    <w:rPr>
      <w:rFonts w:asciiTheme="minorHAnsi" w:eastAsiaTheme="minorHAnsi" w:hAnsiTheme="minorHAnsi" w:cstheme="minorBidi"/>
      <w:bCs w:val="0"/>
      <w:sz w:val="22"/>
      <w:szCs w:val="22"/>
    </w:rPr>
  </w:style>
  <w:style w:type="paragraph" w:styleId="Index3">
    <w:name w:val="index 3"/>
    <w:basedOn w:val="Normal"/>
    <w:next w:val="Normal"/>
    <w:autoRedefine/>
    <w:uiPriority w:val="99"/>
    <w:semiHidden/>
    <w:unhideWhenUsed/>
    <w:rsid w:val="002A6BF1"/>
    <w:pPr>
      <w:ind w:left="660" w:hanging="220"/>
    </w:pPr>
    <w:rPr>
      <w:rFonts w:asciiTheme="minorHAnsi" w:eastAsiaTheme="minorHAnsi" w:hAnsiTheme="minorHAnsi" w:cstheme="minorBidi"/>
      <w:bCs w:val="0"/>
      <w:sz w:val="22"/>
      <w:szCs w:val="22"/>
    </w:rPr>
  </w:style>
  <w:style w:type="paragraph" w:styleId="Index4">
    <w:name w:val="index 4"/>
    <w:basedOn w:val="Normal"/>
    <w:next w:val="Normal"/>
    <w:autoRedefine/>
    <w:uiPriority w:val="99"/>
    <w:semiHidden/>
    <w:unhideWhenUsed/>
    <w:rsid w:val="002A6BF1"/>
    <w:pPr>
      <w:ind w:left="880" w:hanging="220"/>
    </w:pPr>
    <w:rPr>
      <w:rFonts w:asciiTheme="minorHAnsi" w:eastAsiaTheme="minorHAnsi" w:hAnsiTheme="minorHAnsi" w:cstheme="minorBidi"/>
      <w:bCs w:val="0"/>
      <w:sz w:val="22"/>
      <w:szCs w:val="22"/>
    </w:rPr>
  </w:style>
  <w:style w:type="paragraph" w:styleId="Index5">
    <w:name w:val="index 5"/>
    <w:basedOn w:val="Normal"/>
    <w:next w:val="Normal"/>
    <w:autoRedefine/>
    <w:uiPriority w:val="99"/>
    <w:semiHidden/>
    <w:unhideWhenUsed/>
    <w:rsid w:val="002A6BF1"/>
    <w:pPr>
      <w:ind w:left="1100" w:hanging="220"/>
    </w:pPr>
    <w:rPr>
      <w:rFonts w:asciiTheme="minorHAnsi" w:eastAsiaTheme="minorHAnsi" w:hAnsiTheme="minorHAnsi" w:cstheme="minorBidi"/>
      <w:bCs w:val="0"/>
      <w:sz w:val="22"/>
      <w:szCs w:val="22"/>
    </w:rPr>
  </w:style>
  <w:style w:type="paragraph" w:styleId="Index6">
    <w:name w:val="index 6"/>
    <w:basedOn w:val="Normal"/>
    <w:next w:val="Normal"/>
    <w:autoRedefine/>
    <w:uiPriority w:val="99"/>
    <w:semiHidden/>
    <w:unhideWhenUsed/>
    <w:rsid w:val="002A6BF1"/>
    <w:pPr>
      <w:ind w:left="1320" w:hanging="220"/>
    </w:pPr>
    <w:rPr>
      <w:rFonts w:asciiTheme="minorHAnsi" w:eastAsiaTheme="minorHAnsi" w:hAnsiTheme="minorHAnsi" w:cstheme="minorBidi"/>
      <w:bCs w:val="0"/>
      <w:sz w:val="22"/>
      <w:szCs w:val="22"/>
    </w:rPr>
  </w:style>
  <w:style w:type="paragraph" w:styleId="Index7">
    <w:name w:val="index 7"/>
    <w:basedOn w:val="Normal"/>
    <w:next w:val="Normal"/>
    <w:autoRedefine/>
    <w:uiPriority w:val="99"/>
    <w:semiHidden/>
    <w:unhideWhenUsed/>
    <w:rsid w:val="002A6BF1"/>
    <w:pPr>
      <w:ind w:left="1540" w:hanging="220"/>
    </w:pPr>
    <w:rPr>
      <w:rFonts w:asciiTheme="minorHAnsi" w:eastAsiaTheme="minorHAnsi" w:hAnsiTheme="minorHAnsi" w:cstheme="minorBidi"/>
      <w:bCs w:val="0"/>
      <w:sz w:val="22"/>
      <w:szCs w:val="22"/>
    </w:rPr>
  </w:style>
  <w:style w:type="paragraph" w:styleId="Index8">
    <w:name w:val="index 8"/>
    <w:basedOn w:val="Normal"/>
    <w:next w:val="Normal"/>
    <w:autoRedefine/>
    <w:uiPriority w:val="99"/>
    <w:semiHidden/>
    <w:unhideWhenUsed/>
    <w:rsid w:val="002A6BF1"/>
    <w:pPr>
      <w:ind w:left="1760" w:hanging="220"/>
    </w:pPr>
    <w:rPr>
      <w:rFonts w:asciiTheme="minorHAnsi" w:eastAsiaTheme="minorHAnsi" w:hAnsiTheme="minorHAnsi" w:cstheme="minorBidi"/>
      <w:bCs w:val="0"/>
      <w:sz w:val="22"/>
      <w:szCs w:val="22"/>
    </w:rPr>
  </w:style>
  <w:style w:type="paragraph" w:styleId="Index9">
    <w:name w:val="index 9"/>
    <w:basedOn w:val="Normal"/>
    <w:next w:val="Normal"/>
    <w:autoRedefine/>
    <w:uiPriority w:val="99"/>
    <w:semiHidden/>
    <w:unhideWhenUsed/>
    <w:rsid w:val="002A6BF1"/>
    <w:pPr>
      <w:ind w:left="1980" w:hanging="220"/>
    </w:pPr>
    <w:rPr>
      <w:rFonts w:asciiTheme="minorHAnsi" w:eastAsiaTheme="minorHAnsi" w:hAnsiTheme="minorHAnsi" w:cstheme="minorBidi"/>
      <w:bCs w:val="0"/>
      <w:sz w:val="22"/>
      <w:szCs w:val="22"/>
    </w:rPr>
  </w:style>
  <w:style w:type="paragraph" w:styleId="IndexHeading">
    <w:name w:val="index heading"/>
    <w:basedOn w:val="Normal"/>
    <w:next w:val="Index1"/>
    <w:uiPriority w:val="99"/>
    <w:semiHidden/>
    <w:unhideWhenUsed/>
    <w:rsid w:val="002A6BF1"/>
    <w:pPr>
      <w:spacing w:after="160" w:line="259" w:lineRule="auto"/>
    </w:pPr>
    <w:rPr>
      <w:rFonts w:asciiTheme="majorHAnsi" w:eastAsiaTheme="majorEastAsia" w:hAnsiTheme="majorHAnsi" w:cstheme="majorBidi"/>
      <w:b/>
      <w:sz w:val="22"/>
      <w:szCs w:val="22"/>
    </w:rPr>
  </w:style>
  <w:style w:type="character" w:styleId="IntenseEmphasis">
    <w:name w:val="Intense Emphasis"/>
    <w:basedOn w:val="DefaultParagraphFont"/>
    <w:uiPriority w:val="21"/>
    <w:qFormat/>
    <w:rsid w:val="002A6BF1"/>
    <w:rPr>
      <w:i/>
      <w:iCs/>
      <w:color w:val="5B9BD5" w:themeColor="accent1"/>
      <w:lang w:val="en-GB"/>
    </w:rPr>
  </w:style>
  <w:style w:type="paragraph" w:styleId="IntenseQuote">
    <w:name w:val="Intense Quote"/>
    <w:basedOn w:val="Normal"/>
    <w:next w:val="Normal"/>
    <w:link w:val="IntenseQuoteChar"/>
    <w:uiPriority w:val="30"/>
    <w:qFormat/>
    <w:rsid w:val="002A6BF1"/>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bCs w:val="0"/>
      <w:i/>
      <w:iCs/>
      <w:color w:val="5B9BD5" w:themeColor="accent1"/>
      <w:sz w:val="22"/>
      <w:szCs w:val="22"/>
    </w:rPr>
  </w:style>
  <w:style w:type="character" w:customStyle="1" w:styleId="IntenseQuoteChar">
    <w:name w:val="Intense Quote Char"/>
    <w:basedOn w:val="DefaultParagraphFont"/>
    <w:link w:val="IntenseQuote"/>
    <w:uiPriority w:val="30"/>
    <w:rsid w:val="002A6BF1"/>
    <w:rPr>
      <w:i/>
      <w:iCs/>
      <w:color w:val="5B9BD5" w:themeColor="accent1"/>
      <w:lang w:val="en-GB"/>
    </w:rPr>
  </w:style>
  <w:style w:type="character" w:styleId="IntenseReference">
    <w:name w:val="Intense Reference"/>
    <w:basedOn w:val="DefaultParagraphFont"/>
    <w:uiPriority w:val="32"/>
    <w:qFormat/>
    <w:rsid w:val="002A6BF1"/>
    <w:rPr>
      <w:b/>
      <w:bCs/>
      <w:smallCaps/>
      <w:color w:val="5B9BD5" w:themeColor="accent1"/>
      <w:spacing w:val="5"/>
      <w:lang w:val="en-GB"/>
    </w:rPr>
  </w:style>
  <w:style w:type="table" w:styleId="LightGrid">
    <w:name w:val="Light Grid"/>
    <w:basedOn w:val="TableNormal"/>
    <w:uiPriority w:val="62"/>
    <w:semiHidden/>
    <w:unhideWhenUsed/>
    <w:rsid w:val="002A6B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6BF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2A6BF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2A6BF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2A6BF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2A6BF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2A6BF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2A6B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6BF1"/>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2A6BF1"/>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2A6BF1"/>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2A6BF1"/>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2A6BF1"/>
    <w:pPr>
      <w:spacing w:after="0" w:line="240" w:lineRule="auto"/>
    </w:p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2A6BF1"/>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2A6B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6BF1"/>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2A6BF1"/>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2A6BF1"/>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2A6BF1"/>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2A6BF1"/>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2A6BF1"/>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2A6BF1"/>
    <w:rPr>
      <w:lang w:val="en-GB"/>
    </w:rPr>
  </w:style>
  <w:style w:type="paragraph" w:styleId="List">
    <w:name w:val="List"/>
    <w:basedOn w:val="Normal"/>
    <w:uiPriority w:val="99"/>
    <w:semiHidden/>
    <w:unhideWhenUsed/>
    <w:rsid w:val="002A6BF1"/>
    <w:pPr>
      <w:spacing w:after="160" w:line="259" w:lineRule="auto"/>
      <w:ind w:left="283" w:hanging="283"/>
      <w:contextualSpacing/>
    </w:pPr>
    <w:rPr>
      <w:rFonts w:asciiTheme="minorHAnsi" w:eastAsiaTheme="minorHAnsi" w:hAnsiTheme="minorHAnsi" w:cstheme="minorBidi"/>
      <w:bCs w:val="0"/>
      <w:sz w:val="22"/>
      <w:szCs w:val="22"/>
    </w:rPr>
  </w:style>
  <w:style w:type="paragraph" w:styleId="List2">
    <w:name w:val="List 2"/>
    <w:basedOn w:val="Normal"/>
    <w:uiPriority w:val="99"/>
    <w:semiHidden/>
    <w:unhideWhenUsed/>
    <w:rsid w:val="002A6BF1"/>
    <w:pPr>
      <w:spacing w:after="160" w:line="259" w:lineRule="auto"/>
      <w:ind w:left="566" w:hanging="283"/>
      <w:contextualSpacing/>
    </w:pPr>
    <w:rPr>
      <w:rFonts w:asciiTheme="minorHAnsi" w:eastAsiaTheme="minorHAnsi" w:hAnsiTheme="minorHAnsi" w:cstheme="minorBidi"/>
      <w:bCs w:val="0"/>
      <w:sz w:val="22"/>
      <w:szCs w:val="22"/>
    </w:rPr>
  </w:style>
  <w:style w:type="paragraph" w:styleId="List3">
    <w:name w:val="List 3"/>
    <w:basedOn w:val="Normal"/>
    <w:uiPriority w:val="99"/>
    <w:semiHidden/>
    <w:unhideWhenUsed/>
    <w:rsid w:val="002A6BF1"/>
    <w:pPr>
      <w:spacing w:after="160" w:line="259" w:lineRule="auto"/>
      <w:ind w:left="849" w:hanging="283"/>
      <w:contextualSpacing/>
    </w:pPr>
    <w:rPr>
      <w:rFonts w:asciiTheme="minorHAnsi" w:eastAsiaTheme="minorHAnsi" w:hAnsiTheme="minorHAnsi" w:cstheme="minorBidi"/>
      <w:bCs w:val="0"/>
      <w:sz w:val="22"/>
      <w:szCs w:val="22"/>
    </w:rPr>
  </w:style>
  <w:style w:type="paragraph" w:styleId="List4">
    <w:name w:val="List 4"/>
    <w:basedOn w:val="Normal"/>
    <w:uiPriority w:val="99"/>
    <w:semiHidden/>
    <w:unhideWhenUsed/>
    <w:rsid w:val="002A6BF1"/>
    <w:pPr>
      <w:spacing w:after="160" w:line="259" w:lineRule="auto"/>
      <w:ind w:left="1132" w:hanging="283"/>
      <w:contextualSpacing/>
    </w:pPr>
    <w:rPr>
      <w:rFonts w:asciiTheme="minorHAnsi" w:eastAsiaTheme="minorHAnsi" w:hAnsiTheme="minorHAnsi" w:cstheme="minorBidi"/>
      <w:bCs w:val="0"/>
      <w:sz w:val="22"/>
      <w:szCs w:val="22"/>
    </w:rPr>
  </w:style>
  <w:style w:type="paragraph" w:styleId="List5">
    <w:name w:val="List 5"/>
    <w:basedOn w:val="Normal"/>
    <w:uiPriority w:val="99"/>
    <w:semiHidden/>
    <w:unhideWhenUsed/>
    <w:rsid w:val="002A6BF1"/>
    <w:pPr>
      <w:spacing w:after="160" w:line="259" w:lineRule="auto"/>
      <w:ind w:left="1415" w:hanging="283"/>
      <w:contextualSpacing/>
    </w:pPr>
    <w:rPr>
      <w:rFonts w:asciiTheme="minorHAnsi" w:eastAsiaTheme="minorHAnsi" w:hAnsiTheme="minorHAnsi" w:cstheme="minorBidi"/>
      <w:bCs w:val="0"/>
      <w:sz w:val="22"/>
      <w:szCs w:val="22"/>
    </w:rPr>
  </w:style>
  <w:style w:type="paragraph" w:styleId="ListBullet">
    <w:name w:val="List Bullet"/>
    <w:basedOn w:val="Normal"/>
    <w:uiPriority w:val="99"/>
    <w:unhideWhenUsed/>
    <w:rsid w:val="00FF73B7"/>
    <w:pPr>
      <w:numPr>
        <w:numId w:val="1"/>
      </w:numPr>
      <w:spacing w:line="259" w:lineRule="auto"/>
      <w:ind w:left="357" w:hanging="357"/>
    </w:pPr>
    <w:rPr>
      <w:rFonts w:asciiTheme="minorHAnsi" w:eastAsiaTheme="minorHAnsi" w:hAnsiTheme="minorHAnsi" w:cstheme="minorBidi"/>
      <w:bCs w:val="0"/>
      <w:szCs w:val="22"/>
    </w:rPr>
  </w:style>
  <w:style w:type="paragraph" w:styleId="ListBullet2">
    <w:name w:val="List Bullet 2"/>
    <w:basedOn w:val="Normal"/>
    <w:uiPriority w:val="99"/>
    <w:semiHidden/>
    <w:unhideWhenUsed/>
    <w:rsid w:val="002A6BF1"/>
    <w:pPr>
      <w:numPr>
        <w:numId w:val="2"/>
      </w:numPr>
      <w:spacing w:after="160" w:line="259" w:lineRule="auto"/>
      <w:contextualSpacing/>
    </w:pPr>
    <w:rPr>
      <w:rFonts w:asciiTheme="minorHAnsi" w:eastAsiaTheme="minorHAnsi" w:hAnsiTheme="minorHAnsi" w:cstheme="minorBidi"/>
      <w:bCs w:val="0"/>
      <w:sz w:val="22"/>
      <w:szCs w:val="22"/>
    </w:rPr>
  </w:style>
  <w:style w:type="paragraph" w:styleId="ListBullet3">
    <w:name w:val="List Bullet 3"/>
    <w:basedOn w:val="Normal"/>
    <w:uiPriority w:val="99"/>
    <w:semiHidden/>
    <w:unhideWhenUsed/>
    <w:rsid w:val="002A6BF1"/>
    <w:pPr>
      <w:numPr>
        <w:numId w:val="3"/>
      </w:numPr>
      <w:spacing w:after="160" w:line="259" w:lineRule="auto"/>
      <w:contextualSpacing/>
    </w:pPr>
    <w:rPr>
      <w:rFonts w:asciiTheme="minorHAnsi" w:eastAsiaTheme="minorHAnsi" w:hAnsiTheme="minorHAnsi" w:cstheme="minorBidi"/>
      <w:bCs w:val="0"/>
      <w:sz w:val="22"/>
      <w:szCs w:val="22"/>
    </w:rPr>
  </w:style>
  <w:style w:type="paragraph" w:styleId="ListBullet4">
    <w:name w:val="List Bullet 4"/>
    <w:basedOn w:val="Normal"/>
    <w:uiPriority w:val="99"/>
    <w:semiHidden/>
    <w:unhideWhenUsed/>
    <w:rsid w:val="002A6BF1"/>
    <w:pPr>
      <w:numPr>
        <w:numId w:val="4"/>
      </w:numPr>
      <w:spacing w:after="160" w:line="259" w:lineRule="auto"/>
      <w:contextualSpacing/>
    </w:pPr>
    <w:rPr>
      <w:rFonts w:asciiTheme="minorHAnsi" w:eastAsiaTheme="minorHAnsi" w:hAnsiTheme="minorHAnsi" w:cstheme="minorBidi"/>
      <w:bCs w:val="0"/>
      <w:sz w:val="22"/>
      <w:szCs w:val="22"/>
    </w:rPr>
  </w:style>
  <w:style w:type="paragraph" w:styleId="ListBullet5">
    <w:name w:val="List Bullet 5"/>
    <w:basedOn w:val="Normal"/>
    <w:uiPriority w:val="99"/>
    <w:semiHidden/>
    <w:unhideWhenUsed/>
    <w:rsid w:val="002A6BF1"/>
    <w:pPr>
      <w:numPr>
        <w:numId w:val="5"/>
      </w:numPr>
      <w:spacing w:after="160" w:line="259" w:lineRule="auto"/>
      <w:contextualSpacing/>
    </w:pPr>
    <w:rPr>
      <w:rFonts w:asciiTheme="minorHAnsi" w:eastAsiaTheme="minorHAnsi" w:hAnsiTheme="minorHAnsi" w:cstheme="minorBidi"/>
      <w:bCs w:val="0"/>
      <w:sz w:val="22"/>
      <w:szCs w:val="22"/>
    </w:rPr>
  </w:style>
  <w:style w:type="paragraph" w:styleId="ListContinue">
    <w:name w:val="List Continue"/>
    <w:basedOn w:val="Normal"/>
    <w:uiPriority w:val="99"/>
    <w:semiHidden/>
    <w:unhideWhenUsed/>
    <w:rsid w:val="002A6BF1"/>
    <w:pPr>
      <w:spacing w:line="259" w:lineRule="auto"/>
      <w:ind w:left="283"/>
      <w:contextualSpacing/>
    </w:pPr>
    <w:rPr>
      <w:rFonts w:asciiTheme="minorHAnsi" w:eastAsiaTheme="minorHAnsi" w:hAnsiTheme="minorHAnsi" w:cstheme="minorBidi"/>
      <w:bCs w:val="0"/>
      <w:sz w:val="22"/>
      <w:szCs w:val="22"/>
    </w:rPr>
  </w:style>
  <w:style w:type="paragraph" w:styleId="ListContinue2">
    <w:name w:val="List Continue 2"/>
    <w:basedOn w:val="Normal"/>
    <w:uiPriority w:val="99"/>
    <w:semiHidden/>
    <w:unhideWhenUsed/>
    <w:rsid w:val="002A6BF1"/>
    <w:pPr>
      <w:spacing w:line="259" w:lineRule="auto"/>
      <w:ind w:left="566"/>
      <w:contextualSpacing/>
    </w:pPr>
    <w:rPr>
      <w:rFonts w:asciiTheme="minorHAnsi" w:eastAsiaTheme="minorHAnsi" w:hAnsiTheme="minorHAnsi" w:cstheme="minorBidi"/>
      <w:bCs w:val="0"/>
      <w:sz w:val="22"/>
      <w:szCs w:val="22"/>
    </w:rPr>
  </w:style>
  <w:style w:type="paragraph" w:styleId="ListContinue3">
    <w:name w:val="List Continue 3"/>
    <w:basedOn w:val="Normal"/>
    <w:uiPriority w:val="99"/>
    <w:semiHidden/>
    <w:unhideWhenUsed/>
    <w:rsid w:val="002A6BF1"/>
    <w:pPr>
      <w:spacing w:line="259" w:lineRule="auto"/>
      <w:ind w:left="849"/>
      <w:contextualSpacing/>
    </w:pPr>
    <w:rPr>
      <w:rFonts w:asciiTheme="minorHAnsi" w:eastAsiaTheme="minorHAnsi" w:hAnsiTheme="minorHAnsi" w:cstheme="minorBidi"/>
      <w:bCs w:val="0"/>
      <w:sz w:val="22"/>
      <w:szCs w:val="22"/>
    </w:rPr>
  </w:style>
  <w:style w:type="paragraph" w:styleId="ListContinue4">
    <w:name w:val="List Continue 4"/>
    <w:basedOn w:val="Normal"/>
    <w:uiPriority w:val="99"/>
    <w:semiHidden/>
    <w:unhideWhenUsed/>
    <w:rsid w:val="002A6BF1"/>
    <w:pPr>
      <w:spacing w:line="259" w:lineRule="auto"/>
      <w:ind w:left="1132"/>
      <w:contextualSpacing/>
    </w:pPr>
    <w:rPr>
      <w:rFonts w:asciiTheme="minorHAnsi" w:eastAsiaTheme="minorHAnsi" w:hAnsiTheme="minorHAnsi" w:cstheme="minorBidi"/>
      <w:bCs w:val="0"/>
      <w:sz w:val="22"/>
      <w:szCs w:val="22"/>
    </w:rPr>
  </w:style>
  <w:style w:type="paragraph" w:styleId="ListContinue5">
    <w:name w:val="List Continue 5"/>
    <w:basedOn w:val="Normal"/>
    <w:uiPriority w:val="99"/>
    <w:semiHidden/>
    <w:unhideWhenUsed/>
    <w:rsid w:val="002A6BF1"/>
    <w:pPr>
      <w:spacing w:line="259" w:lineRule="auto"/>
      <w:ind w:left="1415"/>
      <w:contextualSpacing/>
    </w:pPr>
    <w:rPr>
      <w:rFonts w:asciiTheme="minorHAnsi" w:eastAsiaTheme="minorHAnsi" w:hAnsiTheme="minorHAnsi" w:cstheme="minorBidi"/>
      <w:bCs w:val="0"/>
      <w:sz w:val="22"/>
      <w:szCs w:val="22"/>
    </w:rPr>
  </w:style>
  <w:style w:type="paragraph" w:styleId="ListNumber">
    <w:name w:val="List Number"/>
    <w:basedOn w:val="Normal"/>
    <w:uiPriority w:val="99"/>
    <w:semiHidden/>
    <w:unhideWhenUsed/>
    <w:rsid w:val="002A6BF1"/>
    <w:pPr>
      <w:numPr>
        <w:numId w:val="6"/>
      </w:numPr>
      <w:spacing w:after="160" w:line="259" w:lineRule="auto"/>
      <w:ind w:left="0" w:firstLine="0"/>
      <w:contextualSpacing/>
    </w:pPr>
    <w:rPr>
      <w:rFonts w:asciiTheme="minorHAnsi" w:eastAsiaTheme="minorHAnsi" w:hAnsiTheme="minorHAnsi" w:cstheme="minorBidi"/>
      <w:bCs w:val="0"/>
      <w:sz w:val="22"/>
      <w:szCs w:val="22"/>
    </w:rPr>
  </w:style>
  <w:style w:type="paragraph" w:styleId="ListNumber2">
    <w:name w:val="List Number 2"/>
    <w:basedOn w:val="Normal"/>
    <w:uiPriority w:val="99"/>
    <w:semiHidden/>
    <w:unhideWhenUsed/>
    <w:rsid w:val="002A6BF1"/>
    <w:pPr>
      <w:numPr>
        <w:numId w:val="7"/>
      </w:numPr>
      <w:spacing w:after="160" w:line="259" w:lineRule="auto"/>
      <w:contextualSpacing/>
    </w:pPr>
    <w:rPr>
      <w:rFonts w:asciiTheme="minorHAnsi" w:eastAsiaTheme="minorHAnsi" w:hAnsiTheme="minorHAnsi" w:cstheme="minorBidi"/>
      <w:bCs w:val="0"/>
      <w:sz w:val="22"/>
      <w:szCs w:val="22"/>
    </w:rPr>
  </w:style>
  <w:style w:type="paragraph" w:styleId="ListNumber3">
    <w:name w:val="List Number 3"/>
    <w:basedOn w:val="Normal"/>
    <w:uiPriority w:val="99"/>
    <w:semiHidden/>
    <w:unhideWhenUsed/>
    <w:rsid w:val="002A6BF1"/>
    <w:pPr>
      <w:numPr>
        <w:numId w:val="8"/>
      </w:numPr>
      <w:spacing w:after="160" w:line="259" w:lineRule="auto"/>
      <w:contextualSpacing/>
    </w:pPr>
    <w:rPr>
      <w:rFonts w:asciiTheme="minorHAnsi" w:eastAsiaTheme="minorHAnsi" w:hAnsiTheme="minorHAnsi" w:cstheme="minorBidi"/>
      <w:bCs w:val="0"/>
      <w:sz w:val="22"/>
      <w:szCs w:val="22"/>
    </w:rPr>
  </w:style>
  <w:style w:type="paragraph" w:styleId="ListNumber4">
    <w:name w:val="List Number 4"/>
    <w:basedOn w:val="Normal"/>
    <w:uiPriority w:val="99"/>
    <w:semiHidden/>
    <w:unhideWhenUsed/>
    <w:rsid w:val="002A6BF1"/>
    <w:pPr>
      <w:numPr>
        <w:numId w:val="9"/>
      </w:numPr>
      <w:spacing w:after="160" w:line="259" w:lineRule="auto"/>
      <w:contextualSpacing/>
    </w:pPr>
    <w:rPr>
      <w:rFonts w:asciiTheme="minorHAnsi" w:eastAsiaTheme="minorHAnsi" w:hAnsiTheme="minorHAnsi" w:cstheme="minorBidi"/>
      <w:bCs w:val="0"/>
      <w:sz w:val="22"/>
      <w:szCs w:val="22"/>
    </w:rPr>
  </w:style>
  <w:style w:type="paragraph" w:styleId="ListNumber5">
    <w:name w:val="List Number 5"/>
    <w:basedOn w:val="Normal"/>
    <w:uiPriority w:val="99"/>
    <w:semiHidden/>
    <w:unhideWhenUsed/>
    <w:rsid w:val="002A6BF1"/>
    <w:pPr>
      <w:numPr>
        <w:numId w:val="10"/>
      </w:numPr>
      <w:spacing w:after="160" w:line="259" w:lineRule="auto"/>
      <w:contextualSpacing/>
    </w:pPr>
    <w:rPr>
      <w:rFonts w:asciiTheme="minorHAnsi" w:eastAsiaTheme="minorHAnsi" w:hAnsiTheme="minorHAnsi" w:cstheme="minorBidi"/>
      <w:bCs w:val="0"/>
      <w:sz w:val="22"/>
      <w:szCs w:val="22"/>
    </w:rPr>
  </w:style>
  <w:style w:type="paragraph" w:styleId="ListParagraph">
    <w:name w:val="List Paragraph"/>
    <w:aliases w:val="Dot pt,F5 List Paragraph,List Paragraph1,List Paragraph11,Bullet 1,Bullet Points,MAIN CONTENT,No Spacing1,List Paragraph Char Char Char,Indicator Text,Numbered Para 1,Medium Grid 1 - Accent 21,Text bullets 1,Colorful List - Accent 11,lp1"/>
    <w:basedOn w:val="Normal"/>
    <w:link w:val="ListParagraphChar"/>
    <w:uiPriority w:val="34"/>
    <w:qFormat/>
    <w:rsid w:val="00CC5C91"/>
    <w:pPr>
      <w:numPr>
        <w:numId w:val="11"/>
      </w:numPr>
      <w:tabs>
        <w:tab w:val="left" w:pos="4890"/>
      </w:tabs>
      <w:spacing w:line="259" w:lineRule="auto"/>
      <w:contextualSpacing/>
      <w:jc w:val="both"/>
    </w:pPr>
    <w:rPr>
      <w:rFonts w:asciiTheme="minorHAnsi" w:eastAsiaTheme="minorHAnsi" w:hAnsiTheme="minorHAnsi" w:cs="Arial"/>
      <w:bCs w:val="0"/>
      <w:sz w:val="22"/>
      <w:szCs w:val="22"/>
    </w:rPr>
  </w:style>
  <w:style w:type="character" w:customStyle="1" w:styleId="ListParagraphChar">
    <w:name w:val="List Paragraph Char"/>
    <w:aliases w:val="Dot pt Char,F5 List Paragraph Char,List Paragraph1 Char,List Paragraph11 Char,Bullet 1 Char,Bullet Points Char,MAIN CONTENT Char,No Spacing1 Char,List Paragraph Char Char Char Char,Indicator Text Char,Numbered Para 1 Char,lp1 Char"/>
    <w:basedOn w:val="DefaultParagraphFont"/>
    <w:link w:val="ListParagraph"/>
    <w:uiPriority w:val="34"/>
    <w:rsid w:val="00CC5C91"/>
    <w:rPr>
      <w:rFonts w:cs="Arial"/>
    </w:rPr>
  </w:style>
  <w:style w:type="table" w:customStyle="1" w:styleId="ListTable1Light1">
    <w:name w:val="List Table 1 Light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1Light-Accent21">
    <w:name w:val="List Table 1 Light - Accent 2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1Light-Accent61">
    <w:name w:val="List Table 1 Light - Accent 61"/>
    <w:basedOn w:val="TableNormal"/>
    <w:uiPriority w:val="46"/>
    <w:rsid w:val="002A6BF1"/>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2A6BF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2A6BF1"/>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2-Accent21">
    <w:name w:val="List Table 2 - Accent 21"/>
    <w:basedOn w:val="TableNormal"/>
    <w:uiPriority w:val="47"/>
    <w:rsid w:val="002A6BF1"/>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2A6BF1"/>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2A6BF1"/>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2A6BF1"/>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2-Accent61">
    <w:name w:val="List Table 2 - Accent 61"/>
    <w:basedOn w:val="TableNormal"/>
    <w:uiPriority w:val="47"/>
    <w:rsid w:val="002A6BF1"/>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2A6BF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2A6BF1"/>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ListTable3-Accent21">
    <w:name w:val="List Table 3 - Accent 21"/>
    <w:basedOn w:val="TableNormal"/>
    <w:uiPriority w:val="48"/>
    <w:rsid w:val="002A6BF1"/>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2A6BF1"/>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2A6BF1"/>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2A6BF1"/>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ListTable3-Accent61">
    <w:name w:val="List Table 3 - Accent 61"/>
    <w:basedOn w:val="TableNormal"/>
    <w:uiPriority w:val="48"/>
    <w:rsid w:val="002A6BF1"/>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2A6BF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2A6B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4-Accent21">
    <w:name w:val="List Table 4 - Accent 21"/>
    <w:basedOn w:val="TableNormal"/>
    <w:uiPriority w:val="49"/>
    <w:rsid w:val="002A6BF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2A6BF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2A6BF1"/>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2A6BF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4-Accent61">
    <w:name w:val="List Table 4 - Accent 61"/>
    <w:basedOn w:val="TableNormal"/>
    <w:uiPriority w:val="49"/>
    <w:rsid w:val="002A6BF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2A6BF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2A6BF1"/>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2A6BF1"/>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2A6BF1"/>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2A6BF1"/>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2A6BF1"/>
    <w:pPr>
      <w:spacing w:after="0" w:line="240" w:lineRule="auto"/>
    </w:pPr>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2A6BF1"/>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2A6BF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2A6BF1"/>
    <w:pPr>
      <w:spacing w:after="0" w:line="240" w:lineRule="auto"/>
    </w:pPr>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ListTable6Colorful-Accent21">
    <w:name w:val="List Table 6 Colorful - Accent 21"/>
    <w:basedOn w:val="TableNormal"/>
    <w:uiPriority w:val="51"/>
    <w:rsid w:val="002A6BF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2A6BF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2A6BF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2A6BF1"/>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Table6Colorful-Accent61">
    <w:name w:val="List Table 6 Colorful - Accent 61"/>
    <w:basedOn w:val="TableNormal"/>
    <w:uiPriority w:val="51"/>
    <w:rsid w:val="002A6BF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2A6BF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2A6BF1"/>
    <w:pPr>
      <w:spacing w:after="0" w:line="240" w:lineRule="auto"/>
    </w:pPr>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2A6BF1"/>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2A6BF1"/>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2A6BF1"/>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2A6BF1"/>
    <w:pPr>
      <w:spacing w:after="0" w:line="240" w:lineRule="auto"/>
    </w:pPr>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2A6BF1"/>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6BF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2A6BF1"/>
    <w:rPr>
      <w:rFonts w:ascii="Consolas" w:hAnsi="Consolas"/>
      <w:sz w:val="20"/>
      <w:szCs w:val="20"/>
      <w:lang w:val="en-GB"/>
    </w:rPr>
  </w:style>
  <w:style w:type="table" w:styleId="MediumGrid1">
    <w:name w:val="Medium Grid 1"/>
    <w:basedOn w:val="TableNormal"/>
    <w:uiPriority w:val="67"/>
    <w:semiHidden/>
    <w:unhideWhenUsed/>
    <w:rsid w:val="002A6B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6BF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2A6BF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2A6BF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2A6BF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2A6BF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2A6BF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2A6BF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2A6BF1"/>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6BF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6BF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6BF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6BF1"/>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6BF1"/>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6BF1"/>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6BF1"/>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6BF1"/>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A6BF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2A6BF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bCs w:val="0"/>
      <w:szCs w:val="24"/>
    </w:rPr>
  </w:style>
  <w:style w:type="character" w:customStyle="1" w:styleId="MessageHeaderChar">
    <w:name w:val="Message Header Char"/>
    <w:basedOn w:val="DefaultParagraphFont"/>
    <w:link w:val="MessageHeader"/>
    <w:uiPriority w:val="99"/>
    <w:semiHidden/>
    <w:rsid w:val="002A6BF1"/>
    <w:rPr>
      <w:rFonts w:asciiTheme="majorHAnsi" w:eastAsiaTheme="majorEastAsia" w:hAnsiTheme="majorHAnsi" w:cstheme="majorBidi"/>
      <w:sz w:val="24"/>
      <w:szCs w:val="24"/>
      <w:shd w:val="pct20" w:color="auto" w:fill="auto"/>
      <w:lang w:val="en-GB"/>
    </w:rPr>
  </w:style>
  <w:style w:type="paragraph" w:styleId="NoSpacing">
    <w:name w:val="No Spacing"/>
    <w:uiPriority w:val="1"/>
    <w:qFormat/>
    <w:rsid w:val="002A6BF1"/>
    <w:pPr>
      <w:spacing w:after="0" w:line="240" w:lineRule="auto"/>
    </w:pPr>
  </w:style>
  <w:style w:type="paragraph" w:styleId="NormalWeb">
    <w:name w:val="Normal (Web)"/>
    <w:basedOn w:val="Normal"/>
    <w:uiPriority w:val="99"/>
    <w:unhideWhenUsed/>
    <w:rsid w:val="002A6BF1"/>
    <w:pPr>
      <w:spacing w:after="160" w:line="259" w:lineRule="auto"/>
    </w:pPr>
    <w:rPr>
      <w:rFonts w:ascii="Times New Roman" w:eastAsiaTheme="minorHAnsi" w:hAnsi="Times New Roman"/>
      <w:bCs w:val="0"/>
      <w:szCs w:val="24"/>
    </w:rPr>
  </w:style>
  <w:style w:type="paragraph" w:styleId="NormalIndent">
    <w:name w:val="Normal Indent"/>
    <w:basedOn w:val="Normal"/>
    <w:uiPriority w:val="99"/>
    <w:semiHidden/>
    <w:unhideWhenUsed/>
    <w:rsid w:val="002A6BF1"/>
    <w:pPr>
      <w:spacing w:after="160" w:line="259" w:lineRule="auto"/>
      <w:ind w:left="720"/>
    </w:pPr>
    <w:rPr>
      <w:rFonts w:asciiTheme="minorHAnsi" w:eastAsiaTheme="minorHAnsi" w:hAnsiTheme="minorHAnsi" w:cstheme="minorBidi"/>
      <w:bCs w:val="0"/>
      <w:sz w:val="22"/>
      <w:szCs w:val="22"/>
    </w:rPr>
  </w:style>
  <w:style w:type="paragraph" w:styleId="NoteHeading">
    <w:name w:val="Note Heading"/>
    <w:basedOn w:val="Normal"/>
    <w:next w:val="Normal"/>
    <w:link w:val="NoteHeadingChar"/>
    <w:uiPriority w:val="99"/>
    <w:semiHidden/>
    <w:unhideWhenUsed/>
    <w:rsid w:val="002A6BF1"/>
    <w:rPr>
      <w:rFonts w:asciiTheme="minorHAnsi" w:eastAsiaTheme="minorHAnsi" w:hAnsiTheme="minorHAnsi" w:cstheme="minorBidi"/>
      <w:bCs w:val="0"/>
      <w:sz w:val="22"/>
      <w:szCs w:val="22"/>
    </w:rPr>
  </w:style>
  <w:style w:type="character" w:customStyle="1" w:styleId="NoteHeadingChar">
    <w:name w:val="Note Heading Char"/>
    <w:basedOn w:val="DefaultParagraphFont"/>
    <w:link w:val="NoteHeading"/>
    <w:uiPriority w:val="99"/>
    <w:semiHidden/>
    <w:rsid w:val="002A6BF1"/>
    <w:rPr>
      <w:lang w:val="en-GB"/>
    </w:rPr>
  </w:style>
  <w:style w:type="character" w:styleId="PageNumber">
    <w:name w:val="page number"/>
    <w:basedOn w:val="DefaultParagraphFont"/>
    <w:uiPriority w:val="99"/>
    <w:semiHidden/>
    <w:unhideWhenUsed/>
    <w:rsid w:val="002A6BF1"/>
    <w:rPr>
      <w:lang w:val="en-GB"/>
    </w:rPr>
  </w:style>
  <w:style w:type="character" w:styleId="PlaceholderText">
    <w:name w:val="Placeholder Text"/>
    <w:basedOn w:val="DefaultParagraphFont"/>
    <w:uiPriority w:val="99"/>
    <w:semiHidden/>
    <w:rsid w:val="002A6BF1"/>
    <w:rPr>
      <w:color w:val="808080"/>
      <w:lang w:val="en-GB"/>
    </w:rPr>
  </w:style>
  <w:style w:type="table" w:customStyle="1" w:styleId="PlainTable11">
    <w:name w:val="Plain Table 11"/>
    <w:basedOn w:val="TableNormal"/>
    <w:uiPriority w:val="41"/>
    <w:rsid w:val="002A6BF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2A6BF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2A6BF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2A6BF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2A6BF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2A6BF1"/>
    <w:rPr>
      <w:rFonts w:ascii="Consolas" w:eastAsiaTheme="minorHAnsi" w:hAnsi="Consolas" w:cstheme="minorBidi"/>
      <w:bCs w:val="0"/>
      <w:sz w:val="21"/>
      <w:szCs w:val="21"/>
    </w:rPr>
  </w:style>
  <w:style w:type="character" w:customStyle="1" w:styleId="PlainTextChar">
    <w:name w:val="Plain Text Char"/>
    <w:basedOn w:val="DefaultParagraphFont"/>
    <w:link w:val="PlainText"/>
    <w:uiPriority w:val="99"/>
    <w:rsid w:val="002A6BF1"/>
    <w:rPr>
      <w:rFonts w:ascii="Consolas" w:hAnsi="Consolas"/>
      <w:sz w:val="21"/>
      <w:szCs w:val="21"/>
      <w:lang w:val="en-GB"/>
    </w:rPr>
  </w:style>
  <w:style w:type="paragraph" w:styleId="Quote">
    <w:name w:val="Quote"/>
    <w:basedOn w:val="Normal"/>
    <w:next w:val="Normal"/>
    <w:link w:val="QuoteChar"/>
    <w:uiPriority w:val="29"/>
    <w:qFormat/>
    <w:rsid w:val="002A6BF1"/>
    <w:pPr>
      <w:spacing w:before="200" w:after="160" w:line="259" w:lineRule="auto"/>
      <w:ind w:left="864" w:right="864"/>
      <w:jc w:val="center"/>
    </w:pPr>
    <w:rPr>
      <w:rFonts w:asciiTheme="minorHAnsi" w:eastAsiaTheme="minorHAnsi" w:hAnsiTheme="minorHAnsi" w:cstheme="minorBidi"/>
      <w:bCs w:val="0"/>
      <w:i/>
      <w:iCs/>
      <w:color w:val="404040" w:themeColor="text1" w:themeTint="BF"/>
      <w:sz w:val="22"/>
      <w:szCs w:val="22"/>
    </w:rPr>
  </w:style>
  <w:style w:type="character" w:customStyle="1" w:styleId="QuoteChar">
    <w:name w:val="Quote Char"/>
    <w:basedOn w:val="DefaultParagraphFont"/>
    <w:link w:val="Quote"/>
    <w:uiPriority w:val="29"/>
    <w:rsid w:val="002A6BF1"/>
    <w:rPr>
      <w:i/>
      <w:iCs/>
      <w:color w:val="404040" w:themeColor="text1" w:themeTint="BF"/>
      <w:lang w:val="en-GB"/>
    </w:rPr>
  </w:style>
  <w:style w:type="paragraph" w:styleId="Salutation">
    <w:name w:val="Salutation"/>
    <w:basedOn w:val="Normal"/>
    <w:next w:val="Normal"/>
    <w:link w:val="SalutationChar"/>
    <w:uiPriority w:val="99"/>
    <w:semiHidden/>
    <w:unhideWhenUsed/>
    <w:rsid w:val="002A6BF1"/>
    <w:pPr>
      <w:spacing w:after="160" w:line="259" w:lineRule="auto"/>
    </w:pPr>
    <w:rPr>
      <w:rFonts w:asciiTheme="minorHAnsi" w:eastAsiaTheme="minorHAnsi" w:hAnsiTheme="minorHAnsi" w:cstheme="minorBidi"/>
      <w:bCs w:val="0"/>
      <w:sz w:val="22"/>
      <w:szCs w:val="22"/>
    </w:rPr>
  </w:style>
  <w:style w:type="character" w:customStyle="1" w:styleId="SalutationChar">
    <w:name w:val="Salutation Char"/>
    <w:basedOn w:val="DefaultParagraphFont"/>
    <w:link w:val="Salutation"/>
    <w:uiPriority w:val="99"/>
    <w:semiHidden/>
    <w:rsid w:val="002A6BF1"/>
    <w:rPr>
      <w:lang w:val="en-GB"/>
    </w:rPr>
  </w:style>
  <w:style w:type="paragraph" w:styleId="Signature">
    <w:name w:val="Signature"/>
    <w:basedOn w:val="Normal"/>
    <w:link w:val="SignatureChar"/>
    <w:uiPriority w:val="99"/>
    <w:semiHidden/>
    <w:unhideWhenUsed/>
    <w:rsid w:val="002A6BF1"/>
    <w:pPr>
      <w:ind w:left="4252"/>
    </w:pPr>
    <w:rPr>
      <w:rFonts w:asciiTheme="minorHAnsi" w:eastAsiaTheme="minorHAnsi" w:hAnsiTheme="minorHAnsi" w:cstheme="minorBidi"/>
      <w:bCs w:val="0"/>
      <w:sz w:val="22"/>
      <w:szCs w:val="22"/>
    </w:rPr>
  </w:style>
  <w:style w:type="character" w:customStyle="1" w:styleId="SignatureChar">
    <w:name w:val="Signature Char"/>
    <w:basedOn w:val="DefaultParagraphFont"/>
    <w:link w:val="Signature"/>
    <w:uiPriority w:val="99"/>
    <w:semiHidden/>
    <w:rsid w:val="002A6BF1"/>
    <w:rPr>
      <w:lang w:val="en-GB"/>
    </w:rPr>
  </w:style>
  <w:style w:type="character" w:styleId="Strong">
    <w:name w:val="Strong"/>
    <w:basedOn w:val="DefaultParagraphFont"/>
    <w:uiPriority w:val="22"/>
    <w:qFormat/>
    <w:rsid w:val="002A6BF1"/>
    <w:rPr>
      <w:b/>
      <w:bCs/>
      <w:lang w:val="en-GB"/>
    </w:rPr>
  </w:style>
  <w:style w:type="paragraph" w:styleId="Subtitle">
    <w:name w:val="Subtitle"/>
    <w:basedOn w:val="Normal"/>
    <w:next w:val="Normal"/>
    <w:link w:val="SubtitleChar"/>
    <w:uiPriority w:val="11"/>
    <w:qFormat/>
    <w:rsid w:val="002A6BF1"/>
    <w:pPr>
      <w:numPr>
        <w:ilvl w:val="1"/>
      </w:numPr>
      <w:spacing w:after="160" w:line="259" w:lineRule="auto"/>
    </w:pPr>
    <w:rPr>
      <w:rFonts w:asciiTheme="minorHAnsi" w:eastAsiaTheme="minorEastAsia" w:hAnsiTheme="minorHAnsi" w:cstheme="minorBidi"/>
      <w:bCs w:val="0"/>
      <w:color w:val="5A5A5A" w:themeColor="text1" w:themeTint="A5"/>
      <w:spacing w:val="15"/>
      <w:sz w:val="22"/>
      <w:szCs w:val="22"/>
    </w:rPr>
  </w:style>
  <w:style w:type="character" w:customStyle="1" w:styleId="SubtitleChar">
    <w:name w:val="Subtitle Char"/>
    <w:basedOn w:val="DefaultParagraphFont"/>
    <w:link w:val="Subtitle"/>
    <w:uiPriority w:val="11"/>
    <w:rsid w:val="002A6BF1"/>
    <w:rPr>
      <w:rFonts w:eastAsiaTheme="minorEastAsia"/>
      <w:color w:val="5A5A5A" w:themeColor="text1" w:themeTint="A5"/>
      <w:spacing w:val="15"/>
      <w:lang w:val="en-GB"/>
    </w:rPr>
  </w:style>
  <w:style w:type="character" w:styleId="SubtleEmphasis">
    <w:name w:val="Subtle Emphasis"/>
    <w:basedOn w:val="DefaultParagraphFont"/>
    <w:uiPriority w:val="19"/>
    <w:qFormat/>
    <w:rsid w:val="002A6BF1"/>
    <w:rPr>
      <w:i/>
      <w:iCs/>
      <w:color w:val="404040" w:themeColor="text1" w:themeTint="BF"/>
      <w:lang w:val="en-GB"/>
    </w:rPr>
  </w:style>
  <w:style w:type="character" w:styleId="SubtleReference">
    <w:name w:val="Subtle Reference"/>
    <w:basedOn w:val="DefaultParagraphFont"/>
    <w:uiPriority w:val="31"/>
    <w:qFormat/>
    <w:rsid w:val="002A6BF1"/>
    <w:rPr>
      <w:smallCaps/>
      <w:color w:val="5A5A5A" w:themeColor="text1" w:themeTint="A5"/>
      <w:lang w:val="en-GB"/>
    </w:rPr>
  </w:style>
  <w:style w:type="table" w:styleId="Table3Deffects1">
    <w:name w:val="Table 3D effects 1"/>
    <w:basedOn w:val="TableNormal"/>
    <w:uiPriority w:val="99"/>
    <w:semiHidden/>
    <w:unhideWhenUsed/>
    <w:rsid w:val="002A6BF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6BF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6BF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6BF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6BF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6BF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6BF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6BF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6BF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6BF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6BF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6BF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6BF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6BF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6BF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6BF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6BF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rsid w:val="002A6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6BF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6BF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6BF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6BF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6BF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2A6BF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6BF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6BF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6BF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6BF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6BF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6BF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6BF1"/>
    <w:pPr>
      <w:spacing w:line="259" w:lineRule="auto"/>
      <w:ind w:left="220" w:hanging="220"/>
    </w:pPr>
    <w:rPr>
      <w:rFonts w:asciiTheme="minorHAnsi" w:eastAsiaTheme="minorHAnsi" w:hAnsiTheme="minorHAnsi" w:cstheme="minorBidi"/>
      <w:bCs w:val="0"/>
      <w:sz w:val="22"/>
      <w:szCs w:val="22"/>
    </w:rPr>
  </w:style>
  <w:style w:type="paragraph" w:styleId="TableofFigures">
    <w:name w:val="table of figures"/>
    <w:basedOn w:val="Normal"/>
    <w:next w:val="Normal"/>
    <w:uiPriority w:val="99"/>
    <w:semiHidden/>
    <w:unhideWhenUsed/>
    <w:rsid w:val="002A6BF1"/>
    <w:pPr>
      <w:spacing w:line="259" w:lineRule="auto"/>
    </w:pPr>
    <w:rPr>
      <w:rFonts w:asciiTheme="minorHAnsi" w:eastAsiaTheme="minorHAnsi" w:hAnsiTheme="minorHAnsi" w:cstheme="minorBidi"/>
      <w:bCs w:val="0"/>
      <w:sz w:val="22"/>
      <w:szCs w:val="22"/>
    </w:rPr>
  </w:style>
  <w:style w:type="table" w:styleId="TableProfessional">
    <w:name w:val="Table Professional"/>
    <w:basedOn w:val="TableNormal"/>
    <w:uiPriority w:val="99"/>
    <w:semiHidden/>
    <w:unhideWhenUsed/>
    <w:rsid w:val="002A6BF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6BF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6BF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6BF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6BF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6BF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6B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6BF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6BF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6B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2A6BF1"/>
    <w:pPr>
      <w:contextualSpacing/>
    </w:pPr>
    <w:rPr>
      <w:rFonts w:asciiTheme="majorHAnsi" w:eastAsiaTheme="majorEastAsia" w:hAnsiTheme="majorHAnsi" w:cstheme="majorBidi"/>
      <w:bCs w:val="0"/>
      <w:spacing w:val="-10"/>
      <w:kern w:val="28"/>
      <w:sz w:val="56"/>
      <w:szCs w:val="56"/>
    </w:rPr>
  </w:style>
  <w:style w:type="character" w:customStyle="1" w:styleId="TitleChar">
    <w:name w:val="Title Char"/>
    <w:basedOn w:val="DefaultParagraphFont"/>
    <w:link w:val="Title"/>
    <w:uiPriority w:val="10"/>
    <w:rsid w:val="002A6BF1"/>
    <w:rPr>
      <w:rFonts w:asciiTheme="majorHAnsi" w:eastAsiaTheme="majorEastAsia" w:hAnsiTheme="majorHAnsi" w:cstheme="majorBidi"/>
      <w:spacing w:val="-10"/>
      <w:kern w:val="28"/>
      <w:sz w:val="56"/>
      <w:szCs w:val="56"/>
      <w:lang w:val="en-GB"/>
    </w:rPr>
  </w:style>
  <w:style w:type="paragraph" w:styleId="TOAHeading">
    <w:name w:val="toa heading"/>
    <w:basedOn w:val="Normal"/>
    <w:next w:val="Normal"/>
    <w:uiPriority w:val="99"/>
    <w:semiHidden/>
    <w:unhideWhenUsed/>
    <w:rsid w:val="002A6BF1"/>
    <w:pPr>
      <w:spacing w:after="160" w:line="259" w:lineRule="auto"/>
    </w:pPr>
    <w:rPr>
      <w:rFonts w:asciiTheme="majorHAnsi" w:eastAsiaTheme="majorEastAsia" w:hAnsiTheme="majorHAnsi" w:cstheme="majorBidi"/>
      <w:b/>
      <w:szCs w:val="24"/>
    </w:rPr>
  </w:style>
  <w:style w:type="paragraph" w:styleId="TOC1">
    <w:name w:val="toc 1"/>
    <w:basedOn w:val="Normal"/>
    <w:next w:val="Normal"/>
    <w:autoRedefine/>
    <w:uiPriority w:val="39"/>
    <w:unhideWhenUsed/>
    <w:qFormat/>
    <w:rsid w:val="00CD26DB"/>
    <w:pPr>
      <w:tabs>
        <w:tab w:val="left" w:pos="440"/>
        <w:tab w:val="right" w:leader="dot" w:pos="9781"/>
      </w:tabs>
      <w:spacing w:after="100" w:line="259" w:lineRule="auto"/>
    </w:pPr>
    <w:rPr>
      <w:rFonts w:eastAsiaTheme="minorHAnsi" w:cstheme="minorBidi"/>
      <w:b/>
      <w:bCs w:val="0"/>
      <w:sz w:val="28"/>
      <w:szCs w:val="22"/>
    </w:rPr>
  </w:style>
  <w:style w:type="paragraph" w:styleId="TOC2">
    <w:name w:val="toc 2"/>
    <w:basedOn w:val="Normal"/>
    <w:next w:val="Normal"/>
    <w:autoRedefine/>
    <w:uiPriority w:val="39"/>
    <w:unhideWhenUsed/>
    <w:qFormat/>
    <w:rsid w:val="00CD26DB"/>
    <w:pPr>
      <w:spacing w:after="100" w:line="259" w:lineRule="auto"/>
      <w:ind w:left="220"/>
    </w:pPr>
    <w:rPr>
      <w:rFonts w:eastAsiaTheme="minorHAnsi" w:cstheme="minorBidi"/>
      <w:b/>
      <w:bCs w:val="0"/>
      <w:color w:val="000000" w:themeColor="text1"/>
      <w:szCs w:val="22"/>
    </w:rPr>
  </w:style>
  <w:style w:type="paragraph" w:styleId="TOC3">
    <w:name w:val="toc 3"/>
    <w:basedOn w:val="Normal"/>
    <w:next w:val="Normal"/>
    <w:autoRedefine/>
    <w:uiPriority w:val="39"/>
    <w:unhideWhenUsed/>
    <w:qFormat/>
    <w:rsid w:val="00CD26DB"/>
    <w:pPr>
      <w:spacing w:after="100" w:line="259" w:lineRule="auto"/>
      <w:ind w:left="440"/>
    </w:pPr>
    <w:rPr>
      <w:rFonts w:eastAsiaTheme="minorHAnsi" w:cstheme="minorBidi"/>
      <w:bCs w:val="0"/>
      <w:color w:val="000000" w:themeColor="text1"/>
      <w:szCs w:val="22"/>
    </w:rPr>
  </w:style>
  <w:style w:type="paragraph" w:styleId="TOC4">
    <w:name w:val="toc 4"/>
    <w:basedOn w:val="Normal"/>
    <w:next w:val="Normal"/>
    <w:autoRedefine/>
    <w:uiPriority w:val="39"/>
    <w:semiHidden/>
    <w:unhideWhenUsed/>
    <w:rsid w:val="002A6BF1"/>
    <w:pPr>
      <w:spacing w:after="100" w:line="259" w:lineRule="auto"/>
      <w:ind w:left="660"/>
    </w:pPr>
    <w:rPr>
      <w:rFonts w:asciiTheme="minorHAnsi" w:eastAsiaTheme="minorHAnsi" w:hAnsiTheme="minorHAnsi" w:cstheme="minorBidi"/>
      <w:bCs w:val="0"/>
      <w:sz w:val="22"/>
      <w:szCs w:val="22"/>
    </w:rPr>
  </w:style>
  <w:style w:type="paragraph" w:styleId="TOC5">
    <w:name w:val="toc 5"/>
    <w:basedOn w:val="Normal"/>
    <w:next w:val="Normal"/>
    <w:autoRedefine/>
    <w:uiPriority w:val="39"/>
    <w:semiHidden/>
    <w:unhideWhenUsed/>
    <w:rsid w:val="002A6BF1"/>
    <w:pPr>
      <w:spacing w:after="100" w:line="259" w:lineRule="auto"/>
      <w:ind w:left="880"/>
    </w:pPr>
    <w:rPr>
      <w:rFonts w:asciiTheme="minorHAnsi" w:eastAsiaTheme="minorHAnsi" w:hAnsiTheme="minorHAnsi" w:cstheme="minorBidi"/>
      <w:bCs w:val="0"/>
      <w:sz w:val="22"/>
      <w:szCs w:val="22"/>
    </w:rPr>
  </w:style>
  <w:style w:type="paragraph" w:styleId="TOC6">
    <w:name w:val="toc 6"/>
    <w:basedOn w:val="Normal"/>
    <w:next w:val="Normal"/>
    <w:autoRedefine/>
    <w:uiPriority w:val="39"/>
    <w:semiHidden/>
    <w:unhideWhenUsed/>
    <w:rsid w:val="002A6BF1"/>
    <w:pPr>
      <w:spacing w:after="100" w:line="259" w:lineRule="auto"/>
      <w:ind w:left="1100"/>
    </w:pPr>
    <w:rPr>
      <w:rFonts w:asciiTheme="minorHAnsi" w:eastAsiaTheme="minorHAnsi" w:hAnsiTheme="minorHAnsi" w:cstheme="minorBidi"/>
      <w:bCs w:val="0"/>
      <w:sz w:val="22"/>
      <w:szCs w:val="22"/>
    </w:rPr>
  </w:style>
  <w:style w:type="paragraph" w:styleId="TOC7">
    <w:name w:val="toc 7"/>
    <w:basedOn w:val="Normal"/>
    <w:next w:val="Normal"/>
    <w:autoRedefine/>
    <w:uiPriority w:val="39"/>
    <w:semiHidden/>
    <w:unhideWhenUsed/>
    <w:rsid w:val="002A6BF1"/>
    <w:pPr>
      <w:spacing w:after="100" w:line="259" w:lineRule="auto"/>
      <w:ind w:left="1320"/>
    </w:pPr>
    <w:rPr>
      <w:rFonts w:asciiTheme="minorHAnsi" w:eastAsiaTheme="minorHAnsi" w:hAnsiTheme="minorHAnsi" w:cstheme="minorBidi"/>
      <w:bCs w:val="0"/>
      <w:sz w:val="22"/>
      <w:szCs w:val="22"/>
    </w:rPr>
  </w:style>
  <w:style w:type="paragraph" w:styleId="TOC8">
    <w:name w:val="toc 8"/>
    <w:basedOn w:val="Normal"/>
    <w:next w:val="Normal"/>
    <w:autoRedefine/>
    <w:uiPriority w:val="39"/>
    <w:semiHidden/>
    <w:unhideWhenUsed/>
    <w:rsid w:val="002A6BF1"/>
    <w:pPr>
      <w:spacing w:after="100" w:line="259" w:lineRule="auto"/>
      <w:ind w:left="1540"/>
    </w:pPr>
    <w:rPr>
      <w:rFonts w:asciiTheme="minorHAnsi" w:eastAsiaTheme="minorHAnsi" w:hAnsiTheme="minorHAnsi" w:cstheme="minorBidi"/>
      <w:bCs w:val="0"/>
      <w:sz w:val="22"/>
      <w:szCs w:val="22"/>
    </w:rPr>
  </w:style>
  <w:style w:type="paragraph" w:styleId="TOC9">
    <w:name w:val="toc 9"/>
    <w:basedOn w:val="Normal"/>
    <w:next w:val="Normal"/>
    <w:autoRedefine/>
    <w:uiPriority w:val="39"/>
    <w:semiHidden/>
    <w:unhideWhenUsed/>
    <w:rsid w:val="002A6BF1"/>
    <w:pPr>
      <w:spacing w:after="100" w:line="259" w:lineRule="auto"/>
      <w:ind w:left="1760"/>
    </w:pPr>
    <w:rPr>
      <w:rFonts w:asciiTheme="minorHAnsi" w:eastAsiaTheme="minorHAnsi" w:hAnsiTheme="minorHAnsi" w:cstheme="minorBidi"/>
      <w:bCs w:val="0"/>
      <w:sz w:val="22"/>
      <w:szCs w:val="22"/>
    </w:rPr>
  </w:style>
  <w:style w:type="paragraph" w:styleId="TOCHeading">
    <w:name w:val="TOC Heading"/>
    <w:basedOn w:val="Heading1"/>
    <w:next w:val="Normal"/>
    <w:uiPriority w:val="39"/>
    <w:unhideWhenUsed/>
    <w:qFormat/>
    <w:rsid w:val="002A6BF1"/>
    <w:pPr>
      <w:outlineLvl w:val="9"/>
    </w:pPr>
  </w:style>
  <w:style w:type="paragraph" w:customStyle="1" w:styleId="Pa41">
    <w:name w:val="Pa4+1"/>
    <w:basedOn w:val="Normal"/>
    <w:next w:val="Normal"/>
    <w:uiPriority w:val="99"/>
    <w:rsid w:val="00637A77"/>
    <w:pPr>
      <w:autoSpaceDE w:val="0"/>
      <w:autoSpaceDN w:val="0"/>
      <w:adjustRightInd w:val="0"/>
      <w:spacing w:line="181" w:lineRule="atLeast"/>
    </w:pPr>
    <w:rPr>
      <w:rFonts w:ascii="Frutiger 55 Roman" w:eastAsia="HGSMinchoE" w:hAnsi="Frutiger 55 Roman"/>
      <w:bCs w:val="0"/>
      <w:szCs w:val="24"/>
      <w:lang w:eastAsia="en-GB"/>
    </w:rPr>
  </w:style>
  <w:style w:type="paragraph" w:customStyle="1" w:styleId="CharChar">
    <w:name w:val="Char Char"/>
    <w:basedOn w:val="Normal"/>
    <w:rsid w:val="002B59A9"/>
    <w:pPr>
      <w:spacing w:after="160" w:line="240" w:lineRule="exact"/>
    </w:pPr>
    <w:rPr>
      <w:rFonts w:ascii="Verdana" w:hAnsi="Verdana"/>
      <w:bCs w:val="0"/>
      <w:sz w:val="20"/>
      <w:szCs w:val="20"/>
      <w:lang w:val="en-US"/>
    </w:rPr>
  </w:style>
  <w:style w:type="table" w:customStyle="1" w:styleId="HeaderTableGrid1">
    <w:name w:val="Header Table Grid1"/>
    <w:basedOn w:val="TableNormal"/>
    <w:next w:val="TableGrid"/>
    <w:rsid w:val="00D935B3"/>
    <w:pPr>
      <w:spacing w:after="0" w:line="240" w:lineRule="auto"/>
    </w:pPr>
    <w:rPr>
      <w:rFonts w:ascii="Arial" w:eastAsia="Calibri" w:hAnsi="Arial"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F11AA7"/>
    <w:pPr>
      <w:spacing w:after="0" w:line="240" w:lineRule="auto"/>
    </w:pPr>
    <w:rPr>
      <w:rFonts w:ascii="Arial" w:eastAsia="Times New Roman" w:hAnsi="Arial" w:cs="Times New Roman"/>
      <w:bCs/>
      <w:sz w:val="24"/>
      <w:szCs w:val="26"/>
    </w:rPr>
  </w:style>
  <w:style w:type="character" w:customStyle="1" w:styleId="UnresolvedMention1">
    <w:name w:val="Unresolved Mention1"/>
    <w:basedOn w:val="DefaultParagraphFont"/>
    <w:uiPriority w:val="99"/>
    <w:semiHidden/>
    <w:unhideWhenUsed/>
    <w:rsid w:val="00CF38C1"/>
    <w:rPr>
      <w:color w:val="605E5C"/>
      <w:shd w:val="clear" w:color="auto" w:fill="E1DFDD"/>
    </w:rPr>
  </w:style>
  <w:style w:type="character" w:customStyle="1" w:styleId="UnresolvedMention2">
    <w:name w:val="Unresolved Mention2"/>
    <w:basedOn w:val="DefaultParagraphFont"/>
    <w:uiPriority w:val="99"/>
    <w:semiHidden/>
    <w:unhideWhenUsed/>
    <w:rsid w:val="00A153CF"/>
    <w:rPr>
      <w:color w:val="605E5C"/>
      <w:shd w:val="clear" w:color="auto" w:fill="E1DFDD"/>
    </w:rPr>
  </w:style>
  <w:style w:type="character" w:customStyle="1" w:styleId="normaltextrun1">
    <w:name w:val="normaltextrun1"/>
    <w:basedOn w:val="DefaultParagraphFont"/>
    <w:rsid w:val="00A42FB5"/>
  </w:style>
  <w:style w:type="paragraph" w:customStyle="1" w:styleId="paragraph1">
    <w:name w:val="paragraph1"/>
    <w:basedOn w:val="Normal"/>
    <w:rsid w:val="00A42FB5"/>
    <w:pPr>
      <w:spacing w:before="0" w:after="0"/>
    </w:pPr>
    <w:rPr>
      <w:rFonts w:ascii="Times New Roman" w:hAnsi="Times New Roman"/>
      <w:bCs w:val="0"/>
      <w:szCs w:val="24"/>
      <w:lang w:eastAsia="en-GB"/>
    </w:rPr>
  </w:style>
  <w:style w:type="character" w:customStyle="1" w:styleId="eop">
    <w:name w:val="eop"/>
    <w:basedOn w:val="DefaultParagraphFont"/>
    <w:rsid w:val="00A42FB5"/>
  </w:style>
  <w:style w:type="character" w:customStyle="1" w:styleId="spellingerror">
    <w:name w:val="spellingerror"/>
    <w:basedOn w:val="DefaultParagraphFont"/>
    <w:rsid w:val="00A42FB5"/>
  </w:style>
  <w:style w:type="character" w:customStyle="1" w:styleId="contextualspellingandgrammarerror">
    <w:name w:val="contextualspellingandgrammarerror"/>
    <w:basedOn w:val="DefaultParagraphFont"/>
    <w:rsid w:val="00A42FB5"/>
  </w:style>
  <w:style w:type="character" w:customStyle="1" w:styleId="UnresolvedMention3">
    <w:name w:val="Unresolved Mention3"/>
    <w:basedOn w:val="DefaultParagraphFont"/>
    <w:uiPriority w:val="99"/>
    <w:semiHidden/>
    <w:unhideWhenUsed/>
    <w:rsid w:val="00237A4E"/>
    <w:rPr>
      <w:color w:val="808080"/>
      <w:shd w:val="clear" w:color="auto" w:fill="E6E6E6"/>
    </w:rPr>
  </w:style>
  <w:style w:type="character" w:customStyle="1" w:styleId="ilfuvd">
    <w:name w:val="ilfuvd"/>
    <w:basedOn w:val="DefaultParagraphFont"/>
    <w:rsid w:val="00E16B46"/>
  </w:style>
  <w:style w:type="character" w:customStyle="1" w:styleId="UnresolvedMention31">
    <w:name w:val="Unresolved Mention31"/>
    <w:basedOn w:val="DefaultParagraphFont"/>
    <w:uiPriority w:val="99"/>
    <w:semiHidden/>
    <w:unhideWhenUsed/>
    <w:rsid w:val="00623E9F"/>
    <w:rPr>
      <w:color w:val="808080"/>
      <w:shd w:val="clear" w:color="auto" w:fill="E6E6E6"/>
    </w:rPr>
  </w:style>
  <w:style w:type="paragraph" w:customStyle="1" w:styleId="Default">
    <w:name w:val="Default"/>
    <w:rsid w:val="00013601"/>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rsid w:val="004C1ED2"/>
    <w:pPr>
      <w:spacing w:after="0" w:line="276" w:lineRule="auto"/>
    </w:pPr>
    <w:rPr>
      <w:rFonts w:ascii="Arial" w:eastAsia="Arial" w:hAnsi="Arial" w:cs="Arial"/>
      <w:lang w:val="uz-Cyrl-UZ"/>
    </w:rPr>
  </w:style>
  <w:style w:type="character" w:customStyle="1" w:styleId="legds2">
    <w:name w:val="legds2"/>
    <w:basedOn w:val="DefaultParagraphFont"/>
    <w:rsid w:val="003A152C"/>
    <w:rPr>
      <w:vanish w:val="0"/>
      <w:webHidden w:val="0"/>
      <w:specVanish w:val="0"/>
    </w:rPr>
  </w:style>
  <w:style w:type="character" w:customStyle="1" w:styleId="ennote">
    <w:name w:val="ennote"/>
    <w:basedOn w:val="DefaultParagraphFont"/>
    <w:rsid w:val="003A152C"/>
  </w:style>
  <w:style w:type="paragraph" w:customStyle="1" w:styleId="legclearfix2">
    <w:name w:val="legclearfix2"/>
    <w:basedOn w:val="Normal"/>
    <w:rsid w:val="003A152C"/>
    <w:pPr>
      <w:shd w:val="clear" w:color="auto" w:fill="FFFFFF"/>
      <w:spacing w:before="0" w:line="360" w:lineRule="atLeast"/>
    </w:pPr>
    <w:rPr>
      <w:rFonts w:ascii="Times New Roman" w:hAnsi="Times New Roman"/>
      <w:bCs w:val="0"/>
      <w:color w:val="000000"/>
      <w:sz w:val="19"/>
      <w:szCs w:val="19"/>
      <w:lang w:eastAsia="en-GB"/>
    </w:rPr>
  </w:style>
  <w:style w:type="paragraph" w:customStyle="1" w:styleId="legclearfix">
    <w:name w:val="legclearfix"/>
    <w:basedOn w:val="Normal"/>
    <w:rsid w:val="005D47D6"/>
    <w:pPr>
      <w:spacing w:before="100" w:beforeAutospacing="1" w:after="100" w:afterAutospacing="1"/>
    </w:pPr>
    <w:rPr>
      <w:rFonts w:ascii="Times New Roman" w:hAnsi="Times New Roman"/>
      <w:bCs w:val="0"/>
      <w:szCs w:val="24"/>
      <w:lang w:eastAsia="en-GB"/>
    </w:rPr>
  </w:style>
  <w:style w:type="character" w:customStyle="1" w:styleId="legds">
    <w:name w:val="legds"/>
    <w:basedOn w:val="DefaultParagraphFont"/>
    <w:rsid w:val="005D47D6"/>
  </w:style>
  <w:style w:type="paragraph" w:customStyle="1" w:styleId="paragraph">
    <w:name w:val="paragraph"/>
    <w:basedOn w:val="Normal"/>
    <w:rsid w:val="00FA7089"/>
    <w:pPr>
      <w:spacing w:before="0" w:after="0"/>
    </w:pPr>
    <w:rPr>
      <w:rFonts w:ascii="Times New Roman" w:hAnsi="Times New Roman"/>
      <w:bCs w:val="0"/>
      <w:szCs w:val="24"/>
      <w:lang w:eastAsia="en-GB"/>
    </w:rPr>
  </w:style>
  <w:style w:type="character" w:customStyle="1" w:styleId="UnresolvedMention4">
    <w:name w:val="Unresolved Mention4"/>
    <w:basedOn w:val="DefaultParagraphFont"/>
    <w:uiPriority w:val="99"/>
    <w:semiHidden/>
    <w:unhideWhenUsed/>
    <w:rsid w:val="001D2BB9"/>
    <w:rPr>
      <w:color w:val="808080"/>
      <w:shd w:val="clear" w:color="auto" w:fill="E6E6E6"/>
    </w:rPr>
  </w:style>
  <w:style w:type="character" w:customStyle="1" w:styleId="UnresolvedMention5">
    <w:name w:val="Unresolved Mention5"/>
    <w:basedOn w:val="DefaultParagraphFont"/>
    <w:uiPriority w:val="99"/>
    <w:semiHidden/>
    <w:unhideWhenUsed/>
    <w:rsid w:val="00332492"/>
    <w:rPr>
      <w:color w:val="808080"/>
      <w:shd w:val="clear" w:color="auto" w:fill="E6E6E6"/>
    </w:rPr>
  </w:style>
  <w:style w:type="character" w:customStyle="1" w:styleId="apple-tab-span">
    <w:name w:val="apple-tab-span"/>
    <w:basedOn w:val="DefaultParagraphFont"/>
    <w:rsid w:val="00B97CA6"/>
  </w:style>
  <w:style w:type="character" w:styleId="UnresolvedMention">
    <w:name w:val="Unresolved Mention"/>
    <w:basedOn w:val="DefaultParagraphFont"/>
    <w:uiPriority w:val="99"/>
    <w:semiHidden/>
    <w:unhideWhenUsed/>
    <w:rsid w:val="00C13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31543">
      <w:bodyDiv w:val="1"/>
      <w:marLeft w:val="0"/>
      <w:marRight w:val="0"/>
      <w:marTop w:val="0"/>
      <w:marBottom w:val="0"/>
      <w:divBdr>
        <w:top w:val="none" w:sz="0" w:space="0" w:color="auto"/>
        <w:left w:val="none" w:sz="0" w:space="0" w:color="auto"/>
        <w:bottom w:val="none" w:sz="0" w:space="0" w:color="auto"/>
        <w:right w:val="none" w:sz="0" w:space="0" w:color="auto"/>
      </w:divBdr>
    </w:div>
    <w:div w:id="29770974">
      <w:bodyDiv w:val="1"/>
      <w:marLeft w:val="0"/>
      <w:marRight w:val="0"/>
      <w:marTop w:val="0"/>
      <w:marBottom w:val="0"/>
      <w:divBdr>
        <w:top w:val="none" w:sz="0" w:space="0" w:color="auto"/>
        <w:left w:val="none" w:sz="0" w:space="0" w:color="auto"/>
        <w:bottom w:val="none" w:sz="0" w:space="0" w:color="auto"/>
        <w:right w:val="none" w:sz="0" w:space="0" w:color="auto"/>
      </w:divBdr>
    </w:div>
    <w:div w:id="34358110">
      <w:bodyDiv w:val="1"/>
      <w:marLeft w:val="0"/>
      <w:marRight w:val="0"/>
      <w:marTop w:val="0"/>
      <w:marBottom w:val="0"/>
      <w:divBdr>
        <w:top w:val="none" w:sz="0" w:space="0" w:color="auto"/>
        <w:left w:val="none" w:sz="0" w:space="0" w:color="auto"/>
        <w:bottom w:val="none" w:sz="0" w:space="0" w:color="auto"/>
        <w:right w:val="none" w:sz="0" w:space="0" w:color="auto"/>
      </w:divBdr>
    </w:div>
    <w:div w:id="38823323">
      <w:bodyDiv w:val="1"/>
      <w:marLeft w:val="0"/>
      <w:marRight w:val="0"/>
      <w:marTop w:val="0"/>
      <w:marBottom w:val="0"/>
      <w:divBdr>
        <w:top w:val="none" w:sz="0" w:space="0" w:color="auto"/>
        <w:left w:val="none" w:sz="0" w:space="0" w:color="auto"/>
        <w:bottom w:val="none" w:sz="0" w:space="0" w:color="auto"/>
        <w:right w:val="none" w:sz="0" w:space="0" w:color="auto"/>
      </w:divBdr>
    </w:div>
    <w:div w:id="40515725">
      <w:bodyDiv w:val="1"/>
      <w:marLeft w:val="0"/>
      <w:marRight w:val="0"/>
      <w:marTop w:val="0"/>
      <w:marBottom w:val="0"/>
      <w:divBdr>
        <w:top w:val="none" w:sz="0" w:space="0" w:color="auto"/>
        <w:left w:val="none" w:sz="0" w:space="0" w:color="auto"/>
        <w:bottom w:val="none" w:sz="0" w:space="0" w:color="auto"/>
        <w:right w:val="none" w:sz="0" w:space="0" w:color="auto"/>
      </w:divBdr>
    </w:div>
    <w:div w:id="41372627">
      <w:bodyDiv w:val="1"/>
      <w:marLeft w:val="0"/>
      <w:marRight w:val="0"/>
      <w:marTop w:val="0"/>
      <w:marBottom w:val="0"/>
      <w:divBdr>
        <w:top w:val="none" w:sz="0" w:space="0" w:color="auto"/>
        <w:left w:val="none" w:sz="0" w:space="0" w:color="auto"/>
        <w:bottom w:val="none" w:sz="0" w:space="0" w:color="auto"/>
        <w:right w:val="none" w:sz="0" w:space="0" w:color="auto"/>
      </w:divBdr>
    </w:div>
    <w:div w:id="49616287">
      <w:bodyDiv w:val="1"/>
      <w:marLeft w:val="0"/>
      <w:marRight w:val="0"/>
      <w:marTop w:val="0"/>
      <w:marBottom w:val="0"/>
      <w:divBdr>
        <w:top w:val="none" w:sz="0" w:space="0" w:color="auto"/>
        <w:left w:val="none" w:sz="0" w:space="0" w:color="auto"/>
        <w:bottom w:val="none" w:sz="0" w:space="0" w:color="auto"/>
        <w:right w:val="none" w:sz="0" w:space="0" w:color="auto"/>
      </w:divBdr>
    </w:div>
    <w:div w:id="55276980">
      <w:bodyDiv w:val="1"/>
      <w:marLeft w:val="0"/>
      <w:marRight w:val="0"/>
      <w:marTop w:val="0"/>
      <w:marBottom w:val="0"/>
      <w:divBdr>
        <w:top w:val="none" w:sz="0" w:space="0" w:color="auto"/>
        <w:left w:val="none" w:sz="0" w:space="0" w:color="auto"/>
        <w:bottom w:val="none" w:sz="0" w:space="0" w:color="auto"/>
        <w:right w:val="none" w:sz="0" w:space="0" w:color="auto"/>
      </w:divBdr>
    </w:div>
    <w:div w:id="66192799">
      <w:bodyDiv w:val="1"/>
      <w:marLeft w:val="0"/>
      <w:marRight w:val="0"/>
      <w:marTop w:val="0"/>
      <w:marBottom w:val="0"/>
      <w:divBdr>
        <w:top w:val="none" w:sz="0" w:space="0" w:color="auto"/>
        <w:left w:val="none" w:sz="0" w:space="0" w:color="auto"/>
        <w:bottom w:val="none" w:sz="0" w:space="0" w:color="auto"/>
        <w:right w:val="none" w:sz="0" w:space="0" w:color="auto"/>
      </w:divBdr>
    </w:div>
    <w:div w:id="109203542">
      <w:bodyDiv w:val="1"/>
      <w:marLeft w:val="0"/>
      <w:marRight w:val="0"/>
      <w:marTop w:val="0"/>
      <w:marBottom w:val="0"/>
      <w:divBdr>
        <w:top w:val="none" w:sz="0" w:space="0" w:color="auto"/>
        <w:left w:val="none" w:sz="0" w:space="0" w:color="auto"/>
        <w:bottom w:val="none" w:sz="0" w:space="0" w:color="auto"/>
        <w:right w:val="none" w:sz="0" w:space="0" w:color="auto"/>
      </w:divBdr>
    </w:div>
    <w:div w:id="147669357">
      <w:bodyDiv w:val="1"/>
      <w:marLeft w:val="0"/>
      <w:marRight w:val="0"/>
      <w:marTop w:val="0"/>
      <w:marBottom w:val="0"/>
      <w:divBdr>
        <w:top w:val="none" w:sz="0" w:space="0" w:color="auto"/>
        <w:left w:val="none" w:sz="0" w:space="0" w:color="auto"/>
        <w:bottom w:val="none" w:sz="0" w:space="0" w:color="auto"/>
        <w:right w:val="none" w:sz="0" w:space="0" w:color="auto"/>
      </w:divBdr>
    </w:div>
    <w:div w:id="150608527">
      <w:bodyDiv w:val="1"/>
      <w:marLeft w:val="0"/>
      <w:marRight w:val="0"/>
      <w:marTop w:val="0"/>
      <w:marBottom w:val="0"/>
      <w:divBdr>
        <w:top w:val="none" w:sz="0" w:space="0" w:color="auto"/>
        <w:left w:val="none" w:sz="0" w:space="0" w:color="auto"/>
        <w:bottom w:val="none" w:sz="0" w:space="0" w:color="auto"/>
        <w:right w:val="none" w:sz="0" w:space="0" w:color="auto"/>
      </w:divBdr>
    </w:div>
    <w:div w:id="170071382">
      <w:bodyDiv w:val="1"/>
      <w:marLeft w:val="0"/>
      <w:marRight w:val="0"/>
      <w:marTop w:val="0"/>
      <w:marBottom w:val="0"/>
      <w:divBdr>
        <w:top w:val="none" w:sz="0" w:space="0" w:color="auto"/>
        <w:left w:val="none" w:sz="0" w:space="0" w:color="auto"/>
        <w:bottom w:val="none" w:sz="0" w:space="0" w:color="auto"/>
        <w:right w:val="none" w:sz="0" w:space="0" w:color="auto"/>
      </w:divBdr>
    </w:div>
    <w:div w:id="193351000">
      <w:bodyDiv w:val="1"/>
      <w:marLeft w:val="0"/>
      <w:marRight w:val="0"/>
      <w:marTop w:val="0"/>
      <w:marBottom w:val="0"/>
      <w:divBdr>
        <w:top w:val="none" w:sz="0" w:space="0" w:color="auto"/>
        <w:left w:val="none" w:sz="0" w:space="0" w:color="auto"/>
        <w:bottom w:val="none" w:sz="0" w:space="0" w:color="auto"/>
        <w:right w:val="none" w:sz="0" w:space="0" w:color="auto"/>
      </w:divBdr>
    </w:div>
    <w:div w:id="215436923">
      <w:bodyDiv w:val="1"/>
      <w:marLeft w:val="0"/>
      <w:marRight w:val="0"/>
      <w:marTop w:val="0"/>
      <w:marBottom w:val="0"/>
      <w:divBdr>
        <w:top w:val="none" w:sz="0" w:space="0" w:color="auto"/>
        <w:left w:val="none" w:sz="0" w:space="0" w:color="auto"/>
        <w:bottom w:val="none" w:sz="0" w:space="0" w:color="auto"/>
        <w:right w:val="none" w:sz="0" w:space="0" w:color="auto"/>
      </w:divBdr>
    </w:div>
    <w:div w:id="217085920">
      <w:bodyDiv w:val="1"/>
      <w:marLeft w:val="0"/>
      <w:marRight w:val="0"/>
      <w:marTop w:val="0"/>
      <w:marBottom w:val="0"/>
      <w:divBdr>
        <w:top w:val="none" w:sz="0" w:space="0" w:color="auto"/>
        <w:left w:val="none" w:sz="0" w:space="0" w:color="auto"/>
        <w:bottom w:val="none" w:sz="0" w:space="0" w:color="auto"/>
        <w:right w:val="none" w:sz="0" w:space="0" w:color="auto"/>
      </w:divBdr>
    </w:div>
    <w:div w:id="221216223">
      <w:bodyDiv w:val="1"/>
      <w:marLeft w:val="0"/>
      <w:marRight w:val="0"/>
      <w:marTop w:val="0"/>
      <w:marBottom w:val="0"/>
      <w:divBdr>
        <w:top w:val="none" w:sz="0" w:space="0" w:color="auto"/>
        <w:left w:val="none" w:sz="0" w:space="0" w:color="auto"/>
        <w:bottom w:val="none" w:sz="0" w:space="0" w:color="auto"/>
        <w:right w:val="none" w:sz="0" w:space="0" w:color="auto"/>
      </w:divBdr>
    </w:div>
    <w:div w:id="222568958">
      <w:bodyDiv w:val="1"/>
      <w:marLeft w:val="0"/>
      <w:marRight w:val="0"/>
      <w:marTop w:val="0"/>
      <w:marBottom w:val="0"/>
      <w:divBdr>
        <w:top w:val="none" w:sz="0" w:space="0" w:color="auto"/>
        <w:left w:val="none" w:sz="0" w:space="0" w:color="auto"/>
        <w:bottom w:val="none" w:sz="0" w:space="0" w:color="auto"/>
        <w:right w:val="none" w:sz="0" w:space="0" w:color="auto"/>
      </w:divBdr>
    </w:div>
    <w:div w:id="225192500">
      <w:bodyDiv w:val="1"/>
      <w:marLeft w:val="0"/>
      <w:marRight w:val="0"/>
      <w:marTop w:val="0"/>
      <w:marBottom w:val="0"/>
      <w:divBdr>
        <w:top w:val="none" w:sz="0" w:space="0" w:color="auto"/>
        <w:left w:val="none" w:sz="0" w:space="0" w:color="auto"/>
        <w:bottom w:val="none" w:sz="0" w:space="0" w:color="auto"/>
        <w:right w:val="none" w:sz="0" w:space="0" w:color="auto"/>
      </w:divBdr>
    </w:div>
    <w:div w:id="232083504">
      <w:bodyDiv w:val="1"/>
      <w:marLeft w:val="0"/>
      <w:marRight w:val="0"/>
      <w:marTop w:val="0"/>
      <w:marBottom w:val="0"/>
      <w:divBdr>
        <w:top w:val="none" w:sz="0" w:space="0" w:color="auto"/>
        <w:left w:val="none" w:sz="0" w:space="0" w:color="auto"/>
        <w:bottom w:val="none" w:sz="0" w:space="0" w:color="auto"/>
        <w:right w:val="none" w:sz="0" w:space="0" w:color="auto"/>
      </w:divBdr>
    </w:div>
    <w:div w:id="251283637">
      <w:bodyDiv w:val="1"/>
      <w:marLeft w:val="0"/>
      <w:marRight w:val="0"/>
      <w:marTop w:val="0"/>
      <w:marBottom w:val="0"/>
      <w:divBdr>
        <w:top w:val="none" w:sz="0" w:space="0" w:color="auto"/>
        <w:left w:val="none" w:sz="0" w:space="0" w:color="auto"/>
        <w:bottom w:val="none" w:sz="0" w:space="0" w:color="auto"/>
        <w:right w:val="none" w:sz="0" w:space="0" w:color="auto"/>
      </w:divBdr>
    </w:div>
    <w:div w:id="252053023">
      <w:bodyDiv w:val="1"/>
      <w:marLeft w:val="0"/>
      <w:marRight w:val="0"/>
      <w:marTop w:val="0"/>
      <w:marBottom w:val="0"/>
      <w:divBdr>
        <w:top w:val="none" w:sz="0" w:space="0" w:color="auto"/>
        <w:left w:val="none" w:sz="0" w:space="0" w:color="auto"/>
        <w:bottom w:val="none" w:sz="0" w:space="0" w:color="auto"/>
        <w:right w:val="none" w:sz="0" w:space="0" w:color="auto"/>
      </w:divBdr>
    </w:div>
    <w:div w:id="288442141">
      <w:bodyDiv w:val="1"/>
      <w:marLeft w:val="0"/>
      <w:marRight w:val="0"/>
      <w:marTop w:val="0"/>
      <w:marBottom w:val="0"/>
      <w:divBdr>
        <w:top w:val="none" w:sz="0" w:space="0" w:color="auto"/>
        <w:left w:val="none" w:sz="0" w:space="0" w:color="auto"/>
        <w:bottom w:val="none" w:sz="0" w:space="0" w:color="auto"/>
        <w:right w:val="none" w:sz="0" w:space="0" w:color="auto"/>
      </w:divBdr>
    </w:div>
    <w:div w:id="293949289">
      <w:bodyDiv w:val="1"/>
      <w:marLeft w:val="0"/>
      <w:marRight w:val="0"/>
      <w:marTop w:val="0"/>
      <w:marBottom w:val="0"/>
      <w:divBdr>
        <w:top w:val="none" w:sz="0" w:space="0" w:color="auto"/>
        <w:left w:val="none" w:sz="0" w:space="0" w:color="auto"/>
        <w:bottom w:val="none" w:sz="0" w:space="0" w:color="auto"/>
        <w:right w:val="none" w:sz="0" w:space="0" w:color="auto"/>
      </w:divBdr>
    </w:div>
    <w:div w:id="294334980">
      <w:bodyDiv w:val="1"/>
      <w:marLeft w:val="0"/>
      <w:marRight w:val="0"/>
      <w:marTop w:val="0"/>
      <w:marBottom w:val="0"/>
      <w:divBdr>
        <w:top w:val="none" w:sz="0" w:space="0" w:color="auto"/>
        <w:left w:val="none" w:sz="0" w:space="0" w:color="auto"/>
        <w:bottom w:val="none" w:sz="0" w:space="0" w:color="auto"/>
        <w:right w:val="none" w:sz="0" w:space="0" w:color="auto"/>
      </w:divBdr>
    </w:div>
    <w:div w:id="304315315">
      <w:bodyDiv w:val="1"/>
      <w:marLeft w:val="0"/>
      <w:marRight w:val="0"/>
      <w:marTop w:val="0"/>
      <w:marBottom w:val="0"/>
      <w:divBdr>
        <w:top w:val="none" w:sz="0" w:space="0" w:color="auto"/>
        <w:left w:val="none" w:sz="0" w:space="0" w:color="auto"/>
        <w:bottom w:val="none" w:sz="0" w:space="0" w:color="auto"/>
        <w:right w:val="none" w:sz="0" w:space="0" w:color="auto"/>
      </w:divBdr>
    </w:div>
    <w:div w:id="313146790">
      <w:bodyDiv w:val="1"/>
      <w:marLeft w:val="0"/>
      <w:marRight w:val="0"/>
      <w:marTop w:val="0"/>
      <w:marBottom w:val="0"/>
      <w:divBdr>
        <w:top w:val="none" w:sz="0" w:space="0" w:color="auto"/>
        <w:left w:val="none" w:sz="0" w:space="0" w:color="auto"/>
        <w:bottom w:val="none" w:sz="0" w:space="0" w:color="auto"/>
        <w:right w:val="none" w:sz="0" w:space="0" w:color="auto"/>
      </w:divBdr>
    </w:div>
    <w:div w:id="347879184">
      <w:bodyDiv w:val="1"/>
      <w:marLeft w:val="0"/>
      <w:marRight w:val="0"/>
      <w:marTop w:val="0"/>
      <w:marBottom w:val="0"/>
      <w:divBdr>
        <w:top w:val="none" w:sz="0" w:space="0" w:color="auto"/>
        <w:left w:val="none" w:sz="0" w:space="0" w:color="auto"/>
        <w:bottom w:val="none" w:sz="0" w:space="0" w:color="auto"/>
        <w:right w:val="none" w:sz="0" w:space="0" w:color="auto"/>
      </w:divBdr>
    </w:div>
    <w:div w:id="372342322">
      <w:bodyDiv w:val="1"/>
      <w:marLeft w:val="0"/>
      <w:marRight w:val="0"/>
      <w:marTop w:val="0"/>
      <w:marBottom w:val="0"/>
      <w:divBdr>
        <w:top w:val="none" w:sz="0" w:space="0" w:color="auto"/>
        <w:left w:val="none" w:sz="0" w:space="0" w:color="auto"/>
        <w:bottom w:val="none" w:sz="0" w:space="0" w:color="auto"/>
        <w:right w:val="none" w:sz="0" w:space="0" w:color="auto"/>
      </w:divBdr>
    </w:div>
    <w:div w:id="379208470">
      <w:bodyDiv w:val="1"/>
      <w:marLeft w:val="0"/>
      <w:marRight w:val="0"/>
      <w:marTop w:val="0"/>
      <w:marBottom w:val="0"/>
      <w:divBdr>
        <w:top w:val="none" w:sz="0" w:space="0" w:color="auto"/>
        <w:left w:val="none" w:sz="0" w:space="0" w:color="auto"/>
        <w:bottom w:val="none" w:sz="0" w:space="0" w:color="auto"/>
        <w:right w:val="none" w:sz="0" w:space="0" w:color="auto"/>
      </w:divBdr>
    </w:div>
    <w:div w:id="410659827">
      <w:bodyDiv w:val="1"/>
      <w:marLeft w:val="0"/>
      <w:marRight w:val="0"/>
      <w:marTop w:val="0"/>
      <w:marBottom w:val="0"/>
      <w:divBdr>
        <w:top w:val="none" w:sz="0" w:space="0" w:color="auto"/>
        <w:left w:val="none" w:sz="0" w:space="0" w:color="auto"/>
        <w:bottom w:val="none" w:sz="0" w:space="0" w:color="auto"/>
        <w:right w:val="none" w:sz="0" w:space="0" w:color="auto"/>
      </w:divBdr>
    </w:div>
    <w:div w:id="431515131">
      <w:bodyDiv w:val="1"/>
      <w:marLeft w:val="0"/>
      <w:marRight w:val="0"/>
      <w:marTop w:val="0"/>
      <w:marBottom w:val="0"/>
      <w:divBdr>
        <w:top w:val="none" w:sz="0" w:space="0" w:color="auto"/>
        <w:left w:val="none" w:sz="0" w:space="0" w:color="auto"/>
        <w:bottom w:val="none" w:sz="0" w:space="0" w:color="auto"/>
        <w:right w:val="none" w:sz="0" w:space="0" w:color="auto"/>
      </w:divBdr>
    </w:div>
    <w:div w:id="434785172">
      <w:bodyDiv w:val="1"/>
      <w:marLeft w:val="0"/>
      <w:marRight w:val="0"/>
      <w:marTop w:val="0"/>
      <w:marBottom w:val="0"/>
      <w:divBdr>
        <w:top w:val="none" w:sz="0" w:space="0" w:color="auto"/>
        <w:left w:val="none" w:sz="0" w:space="0" w:color="auto"/>
        <w:bottom w:val="none" w:sz="0" w:space="0" w:color="auto"/>
        <w:right w:val="none" w:sz="0" w:space="0" w:color="auto"/>
      </w:divBdr>
    </w:div>
    <w:div w:id="509149724">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
    <w:div w:id="515533561">
      <w:bodyDiv w:val="1"/>
      <w:marLeft w:val="0"/>
      <w:marRight w:val="0"/>
      <w:marTop w:val="0"/>
      <w:marBottom w:val="0"/>
      <w:divBdr>
        <w:top w:val="none" w:sz="0" w:space="0" w:color="auto"/>
        <w:left w:val="none" w:sz="0" w:space="0" w:color="auto"/>
        <w:bottom w:val="none" w:sz="0" w:space="0" w:color="auto"/>
        <w:right w:val="none" w:sz="0" w:space="0" w:color="auto"/>
      </w:divBdr>
    </w:div>
    <w:div w:id="515727831">
      <w:bodyDiv w:val="1"/>
      <w:marLeft w:val="0"/>
      <w:marRight w:val="0"/>
      <w:marTop w:val="0"/>
      <w:marBottom w:val="0"/>
      <w:divBdr>
        <w:top w:val="none" w:sz="0" w:space="0" w:color="auto"/>
        <w:left w:val="none" w:sz="0" w:space="0" w:color="auto"/>
        <w:bottom w:val="none" w:sz="0" w:space="0" w:color="auto"/>
        <w:right w:val="none" w:sz="0" w:space="0" w:color="auto"/>
      </w:divBdr>
    </w:div>
    <w:div w:id="520582672">
      <w:bodyDiv w:val="1"/>
      <w:marLeft w:val="0"/>
      <w:marRight w:val="0"/>
      <w:marTop w:val="0"/>
      <w:marBottom w:val="0"/>
      <w:divBdr>
        <w:top w:val="none" w:sz="0" w:space="0" w:color="auto"/>
        <w:left w:val="none" w:sz="0" w:space="0" w:color="auto"/>
        <w:bottom w:val="none" w:sz="0" w:space="0" w:color="auto"/>
        <w:right w:val="none" w:sz="0" w:space="0" w:color="auto"/>
      </w:divBdr>
    </w:div>
    <w:div w:id="534971408">
      <w:bodyDiv w:val="1"/>
      <w:marLeft w:val="0"/>
      <w:marRight w:val="0"/>
      <w:marTop w:val="0"/>
      <w:marBottom w:val="0"/>
      <w:divBdr>
        <w:top w:val="none" w:sz="0" w:space="0" w:color="auto"/>
        <w:left w:val="none" w:sz="0" w:space="0" w:color="auto"/>
        <w:bottom w:val="none" w:sz="0" w:space="0" w:color="auto"/>
        <w:right w:val="none" w:sz="0" w:space="0" w:color="auto"/>
      </w:divBdr>
      <w:divsChild>
        <w:div w:id="930629714">
          <w:marLeft w:val="0"/>
          <w:marRight w:val="0"/>
          <w:marTop w:val="0"/>
          <w:marBottom w:val="0"/>
          <w:divBdr>
            <w:top w:val="none" w:sz="0" w:space="0" w:color="auto"/>
            <w:left w:val="none" w:sz="0" w:space="0" w:color="auto"/>
            <w:bottom w:val="none" w:sz="0" w:space="0" w:color="auto"/>
            <w:right w:val="none" w:sz="0" w:space="0" w:color="auto"/>
          </w:divBdr>
          <w:divsChild>
            <w:div w:id="833032438">
              <w:marLeft w:val="0"/>
              <w:marRight w:val="0"/>
              <w:marTop w:val="0"/>
              <w:marBottom w:val="0"/>
              <w:divBdr>
                <w:top w:val="single" w:sz="2" w:space="0" w:color="FFFFFF"/>
                <w:left w:val="single" w:sz="6" w:space="0" w:color="FFFFFF"/>
                <w:bottom w:val="single" w:sz="6" w:space="0" w:color="FFFFFF"/>
                <w:right w:val="single" w:sz="6" w:space="0" w:color="FFFFFF"/>
              </w:divBdr>
              <w:divsChild>
                <w:div w:id="1551644861">
                  <w:marLeft w:val="0"/>
                  <w:marRight w:val="0"/>
                  <w:marTop w:val="0"/>
                  <w:marBottom w:val="0"/>
                  <w:divBdr>
                    <w:top w:val="single" w:sz="6" w:space="1" w:color="D3D3D3"/>
                    <w:left w:val="none" w:sz="0" w:space="0" w:color="auto"/>
                    <w:bottom w:val="none" w:sz="0" w:space="0" w:color="auto"/>
                    <w:right w:val="none" w:sz="0" w:space="0" w:color="auto"/>
                  </w:divBdr>
                  <w:divsChild>
                    <w:div w:id="1746799085">
                      <w:marLeft w:val="0"/>
                      <w:marRight w:val="0"/>
                      <w:marTop w:val="0"/>
                      <w:marBottom w:val="0"/>
                      <w:divBdr>
                        <w:top w:val="none" w:sz="0" w:space="0" w:color="auto"/>
                        <w:left w:val="none" w:sz="0" w:space="0" w:color="auto"/>
                        <w:bottom w:val="none" w:sz="0" w:space="0" w:color="auto"/>
                        <w:right w:val="none" w:sz="0" w:space="0" w:color="auto"/>
                      </w:divBdr>
                      <w:divsChild>
                        <w:div w:id="1980256471">
                          <w:marLeft w:val="0"/>
                          <w:marRight w:val="0"/>
                          <w:marTop w:val="0"/>
                          <w:marBottom w:val="0"/>
                          <w:divBdr>
                            <w:top w:val="none" w:sz="0" w:space="0" w:color="auto"/>
                            <w:left w:val="none" w:sz="0" w:space="0" w:color="auto"/>
                            <w:bottom w:val="none" w:sz="0" w:space="0" w:color="auto"/>
                            <w:right w:val="none" w:sz="0" w:space="0" w:color="auto"/>
                          </w:divBdr>
                          <w:divsChild>
                            <w:div w:id="161359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248595">
      <w:bodyDiv w:val="1"/>
      <w:marLeft w:val="0"/>
      <w:marRight w:val="0"/>
      <w:marTop w:val="0"/>
      <w:marBottom w:val="0"/>
      <w:divBdr>
        <w:top w:val="none" w:sz="0" w:space="0" w:color="auto"/>
        <w:left w:val="none" w:sz="0" w:space="0" w:color="auto"/>
        <w:bottom w:val="none" w:sz="0" w:space="0" w:color="auto"/>
        <w:right w:val="none" w:sz="0" w:space="0" w:color="auto"/>
      </w:divBdr>
    </w:div>
    <w:div w:id="551423666">
      <w:bodyDiv w:val="1"/>
      <w:marLeft w:val="0"/>
      <w:marRight w:val="0"/>
      <w:marTop w:val="0"/>
      <w:marBottom w:val="0"/>
      <w:divBdr>
        <w:top w:val="none" w:sz="0" w:space="0" w:color="auto"/>
        <w:left w:val="none" w:sz="0" w:space="0" w:color="auto"/>
        <w:bottom w:val="none" w:sz="0" w:space="0" w:color="auto"/>
        <w:right w:val="none" w:sz="0" w:space="0" w:color="auto"/>
      </w:divBdr>
    </w:div>
    <w:div w:id="583412653">
      <w:bodyDiv w:val="1"/>
      <w:marLeft w:val="0"/>
      <w:marRight w:val="0"/>
      <w:marTop w:val="0"/>
      <w:marBottom w:val="0"/>
      <w:divBdr>
        <w:top w:val="none" w:sz="0" w:space="0" w:color="auto"/>
        <w:left w:val="none" w:sz="0" w:space="0" w:color="auto"/>
        <w:bottom w:val="none" w:sz="0" w:space="0" w:color="auto"/>
        <w:right w:val="none" w:sz="0" w:space="0" w:color="auto"/>
      </w:divBdr>
    </w:div>
    <w:div w:id="607078674">
      <w:bodyDiv w:val="1"/>
      <w:marLeft w:val="0"/>
      <w:marRight w:val="0"/>
      <w:marTop w:val="0"/>
      <w:marBottom w:val="0"/>
      <w:divBdr>
        <w:top w:val="none" w:sz="0" w:space="0" w:color="auto"/>
        <w:left w:val="none" w:sz="0" w:space="0" w:color="auto"/>
        <w:bottom w:val="none" w:sz="0" w:space="0" w:color="auto"/>
        <w:right w:val="none" w:sz="0" w:space="0" w:color="auto"/>
      </w:divBdr>
    </w:div>
    <w:div w:id="612636047">
      <w:bodyDiv w:val="1"/>
      <w:marLeft w:val="0"/>
      <w:marRight w:val="0"/>
      <w:marTop w:val="0"/>
      <w:marBottom w:val="0"/>
      <w:divBdr>
        <w:top w:val="none" w:sz="0" w:space="0" w:color="auto"/>
        <w:left w:val="none" w:sz="0" w:space="0" w:color="auto"/>
        <w:bottom w:val="none" w:sz="0" w:space="0" w:color="auto"/>
        <w:right w:val="none" w:sz="0" w:space="0" w:color="auto"/>
      </w:divBdr>
    </w:div>
    <w:div w:id="615719729">
      <w:bodyDiv w:val="1"/>
      <w:marLeft w:val="0"/>
      <w:marRight w:val="0"/>
      <w:marTop w:val="0"/>
      <w:marBottom w:val="0"/>
      <w:divBdr>
        <w:top w:val="none" w:sz="0" w:space="0" w:color="auto"/>
        <w:left w:val="none" w:sz="0" w:space="0" w:color="auto"/>
        <w:bottom w:val="none" w:sz="0" w:space="0" w:color="auto"/>
        <w:right w:val="none" w:sz="0" w:space="0" w:color="auto"/>
      </w:divBdr>
    </w:div>
    <w:div w:id="643656893">
      <w:bodyDiv w:val="1"/>
      <w:marLeft w:val="0"/>
      <w:marRight w:val="0"/>
      <w:marTop w:val="0"/>
      <w:marBottom w:val="0"/>
      <w:divBdr>
        <w:top w:val="none" w:sz="0" w:space="0" w:color="auto"/>
        <w:left w:val="none" w:sz="0" w:space="0" w:color="auto"/>
        <w:bottom w:val="none" w:sz="0" w:space="0" w:color="auto"/>
        <w:right w:val="none" w:sz="0" w:space="0" w:color="auto"/>
      </w:divBdr>
    </w:div>
    <w:div w:id="645670536">
      <w:bodyDiv w:val="1"/>
      <w:marLeft w:val="0"/>
      <w:marRight w:val="0"/>
      <w:marTop w:val="0"/>
      <w:marBottom w:val="0"/>
      <w:divBdr>
        <w:top w:val="none" w:sz="0" w:space="0" w:color="auto"/>
        <w:left w:val="none" w:sz="0" w:space="0" w:color="auto"/>
        <w:bottom w:val="none" w:sz="0" w:space="0" w:color="auto"/>
        <w:right w:val="none" w:sz="0" w:space="0" w:color="auto"/>
      </w:divBdr>
    </w:div>
    <w:div w:id="649023582">
      <w:bodyDiv w:val="1"/>
      <w:marLeft w:val="0"/>
      <w:marRight w:val="0"/>
      <w:marTop w:val="0"/>
      <w:marBottom w:val="0"/>
      <w:divBdr>
        <w:top w:val="none" w:sz="0" w:space="0" w:color="auto"/>
        <w:left w:val="none" w:sz="0" w:space="0" w:color="auto"/>
        <w:bottom w:val="none" w:sz="0" w:space="0" w:color="auto"/>
        <w:right w:val="none" w:sz="0" w:space="0" w:color="auto"/>
      </w:divBdr>
    </w:div>
    <w:div w:id="650408204">
      <w:bodyDiv w:val="1"/>
      <w:marLeft w:val="0"/>
      <w:marRight w:val="0"/>
      <w:marTop w:val="0"/>
      <w:marBottom w:val="0"/>
      <w:divBdr>
        <w:top w:val="none" w:sz="0" w:space="0" w:color="auto"/>
        <w:left w:val="none" w:sz="0" w:space="0" w:color="auto"/>
        <w:bottom w:val="none" w:sz="0" w:space="0" w:color="auto"/>
        <w:right w:val="none" w:sz="0" w:space="0" w:color="auto"/>
      </w:divBdr>
    </w:div>
    <w:div w:id="655884467">
      <w:bodyDiv w:val="1"/>
      <w:marLeft w:val="0"/>
      <w:marRight w:val="0"/>
      <w:marTop w:val="0"/>
      <w:marBottom w:val="0"/>
      <w:divBdr>
        <w:top w:val="none" w:sz="0" w:space="0" w:color="auto"/>
        <w:left w:val="none" w:sz="0" w:space="0" w:color="auto"/>
        <w:bottom w:val="none" w:sz="0" w:space="0" w:color="auto"/>
        <w:right w:val="none" w:sz="0" w:space="0" w:color="auto"/>
      </w:divBdr>
      <w:divsChild>
        <w:div w:id="2071610464">
          <w:marLeft w:val="0"/>
          <w:marRight w:val="0"/>
          <w:marTop w:val="0"/>
          <w:marBottom w:val="0"/>
          <w:divBdr>
            <w:top w:val="none" w:sz="0" w:space="0" w:color="auto"/>
            <w:left w:val="none" w:sz="0" w:space="0" w:color="auto"/>
            <w:bottom w:val="none" w:sz="0" w:space="0" w:color="auto"/>
            <w:right w:val="none" w:sz="0" w:space="0" w:color="auto"/>
          </w:divBdr>
          <w:divsChild>
            <w:div w:id="544030280">
              <w:marLeft w:val="0"/>
              <w:marRight w:val="0"/>
              <w:marTop w:val="0"/>
              <w:marBottom w:val="0"/>
              <w:divBdr>
                <w:top w:val="none" w:sz="0" w:space="0" w:color="auto"/>
                <w:left w:val="none" w:sz="0" w:space="0" w:color="auto"/>
                <w:bottom w:val="none" w:sz="0" w:space="0" w:color="auto"/>
                <w:right w:val="none" w:sz="0" w:space="0" w:color="auto"/>
              </w:divBdr>
              <w:divsChild>
                <w:div w:id="1002006132">
                  <w:marLeft w:val="0"/>
                  <w:marRight w:val="0"/>
                  <w:marTop w:val="0"/>
                  <w:marBottom w:val="0"/>
                  <w:divBdr>
                    <w:top w:val="none" w:sz="0" w:space="0" w:color="auto"/>
                    <w:left w:val="none" w:sz="0" w:space="0" w:color="auto"/>
                    <w:bottom w:val="none" w:sz="0" w:space="0" w:color="auto"/>
                    <w:right w:val="none" w:sz="0" w:space="0" w:color="auto"/>
                  </w:divBdr>
                  <w:divsChild>
                    <w:div w:id="1159538485">
                      <w:marLeft w:val="0"/>
                      <w:marRight w:val="0"/>
                      <w:marTop w:val="0"/>
                      <w:marBottom w:val="0"/>
                      <w:divBdr>
                        <w:top w:val="none" w:sz="0" w:space="0" w:color="auto"/>
                        <w:left w:val="none" w:sz="0" w:space="0" w:color="auto"/>
                        <w:bottom w:val="none" w:sz="0" w:space="0" w:color="auto"/>
                        <w:right w:val="none" w:sz="0" w:space="0" w:color="auto"/>
                      </w:divBdr>
                      <w:divsChild>
                        <w:div w:id="28999143">
                          <w:marLeft w:val="0"/>
                          <w:marRight w:val="0"/>
                          <w:marTop w:val="0"/>
                          <w:marBottom w:val="0"/>
                          <w:divBdr>
                            <w:top w:val="none" w:sz="0" w:space="0" w:color="auto"/>
                            <w:left w:val="none" w:sz="0" w:space="0" w:color="auto"/>
                            <w:bottom w:val="none" w:sz="0" w:space="0" w:color="auto"/>
                            <w:right w:val="none" w:sz="0" w:space="0" w:color="auto"/>
                          </w:divBdr>
                          <w:divsChild>
                            <w:div w:id="1502088199">
                              <w:marLeft w:val="0"/>
                              <w:marRight w:val="0"/>
                              <w:marTop w:val="0"/>
                              <w:marBottom w:val="0"/>
                              <w:divBdr>
                                <w:top w:val="none" w:sz="0" w:space="0" w:color="auto"/>
                                <w:left w:val="none" w:sz="0" w:space="0" w:color="auto"/>
                                <w:bottom w:val="none" w:sz="0" w:space="0" w:color="auto"/>
                                <w:right w:val="none" w:sz="0" w:space="0" w:color="auto"/>
                              </w:divBdr>
                              <w:divsChild>
                                <w:div w:id="1665472616">
                                  <w:marLeft w:val="0"/>
                                  <w:marRight w:val="0"/>
                                  <w:marTop w:val="0"/>
                                  <w:marBottom w:val="0"/>
                                  <w:divBdr>
                                    <w:top w:val="none" w:sz="0" w:space="0" w:color="auto"/>
                                    <w:left w:val="none" w:sz="0" w:space="0" w:color="auto"/>
                                    <w:bottom w:val="none" w:sz="0" w:space="0" w:color="auto"/>
                                    <w:right w:val="none" w:sz="0" w:space="0" w:color="auto"/>
                                  </w:divBdr>
                                  <w:divsChild>
                                    <w:div w:id="85543367">
                                      <w:marLeft w:val="0"/>
                                      <w:marRight w:val="0"/>
                                      <w:marTop w:val="0"/>
                                      <w:marBottom w:val="0"/>
                                      <w:divBdr>
                                        <w:top w:val="none" w:sz="0" w:space="0" w:color="auto"/>
                                        <w:left w:val="none" w:sz="0" w:space="0" w:color="auto"/>
                                        <w:bottom w:val="none" w:sz="0" w:space="0" w:color="auto"/>
                                        <w:right w:val="none" w:sz="0" w:space="0" w:color="auto"/>
                                      </w:divBdr>
                                      <w:divsChild>
                                        <w:div w:id="980304370">
                                          <w:marLeft w:val="0"/>
                                          <w:marRight w:val="0"/>
                                          <w:marTop w:val="0"/>
                                          <w:marBottom w:val="0"/>
                                          <w:divBdr>
                                            <w:top w:val="none" w:sz="0" w:space="0" w:color="auto"/>
                                            <w:left w:val="none" w:sz="0" w:space="0" w:color="auto"/>
                                            <w:bottom w:val="none" w:sz="0" w:space="0" w:color="auto"/>
                                            <w:right w:val="none" w:sz="0" w:space="0" w:color="auto"/>
                                          </w:divBdr>
                                          <w:divsChild>
                                            <w:div w:id="482501937">
                                              <w:marLeft w:val="0"/>
                                              <w:marRight w:val="0"/>
                                              <w:marTop w:val="0"/>
                                              <w:marBottom w:val="0"/>
                                              <w:divBdr>
                                                <w:top w:val="none" w:sz="0" w:space="0" w:color="auto"/>
                                                <w:left w:val="none" w:sz="0" w:space="0" w:color="auto"/>
                                                <w:bottom w:val="none" w:sz="0" w:space="0" w:color="auto"/>
                                                <w:right w:val="none" w:sz="0" w:space="0" w:color="auto"/>
                                              </w:divBdr>
                                              <w:divsChild>
                                                <w:div w:id="1071735092">
                                                  <w:marLeft w:val="0"/>
                                                  <w:marRight w:val="0"/>
                                                  <w:marTop w:val="0"/>
                                                  <w:marBottom w:val="0"/>
                                                  <w:divBdr>
                                                    <w:top w:val="none" w:sz="0" w:space="0" w:color="auto"/>
                                                    <w:left w:val="none" w:sz="0" w:space="0" w:color="auto"/>
                                                    <w:bottom w:val="none" w:sz="0" w:space="0" w:color="auto"/>
                                                    <w:right w:val="none" w:sz="0" w:space="0" w:color="auto"/>
                                                  </w:divBdr>
                                                  <w:divsChild>
                                                    <w:div w:id="2048334721">
                                                      <w:marLeft w:val="0"/>
                                                      <w:marRight w:val="0"/>
                                                      <w:marTop w:val="0"/>
                                                      <w:marBottom w:val="0"/>
                                                      <w:divBdr>
                                                        <w:top w:val="single" w:sz="6" w:space="0" w:color="ABABAB"/>
                                                        <w:left w:val="single" w:sz="6" w:space="0" w:color="ABABAB"/>
                                                        <w:bottom w:val="none" w:sz="0" w:space="0" w:color="auto"/>
                                                        <w:right w:val="single" w:sz="6" w:space="0" w:color="ABABAB"/>
                                                      </w:divBdr>
                                                      <w:divsChild>
                                                        <w:div w:id="371422690">
                                                          <w:marLeft w:val="0"/>
                                                          <w:marRight w:val="0"/>
                                                          <w:marTop w:val="0"/>
                                                          <w:marBottom w:val="0"/>
                                                          <w:divBdr>
                                                            <w:top w:val="none" w:sz="0" w:space="0" w:color="auto"/>
                                                            <w:left w:val="none" w:sz="0" w:space="0" w:color="auto"/>
                                                            <w:bottom w:val="none" w:sz="0" w:space="0" w:color="auto"/>
                                                            <w:right w:val="none" w:sz="0" w:space="0" w:color="auto"/>
                                                          </w:divBdr>
                                                          <w:divsChild>
                                                            <w:div w:id="1643077439">
                                                              <w:marLeft w:val="0"/>
                                                              <w:marRight w:val="0"/>
                                                              <w:marTop w:val="0"/>
                                                              <w:marBottom w:val="0"/>
                                                              <w:divBdr>
                                                                <w:top w:val="none" w:sz="0" w:space="0" w:color="auto"/>
                                                                <w:left w:val="none" w:sz="0" w:space="0" w:color="auto"/>
                                                                <w:bottom w:val="none" w:sz="0" w:space="0" w:color="auto"/>
                                                                <w:right w:val="none" w:sz="0" w:space="0" w:color="auto"/>
                                                              </w:divBdr>
                                                              <w:divsChild>
                                                                <w:div w:id="1002970223">
                                                                  <w:marLeft w:val="0"/>
                                                                  <w:marRight w:val="0"/>
                                                                  <w:marTop w:val="0"/>
                                                                  <w:marBottom w:val="0"/>
                                                                  <w:divBdr>
                                                                    <w:top w:val="none" w:sz="0" w:space="0" w:color="auto"/>
                                                                    <w:left w:val="none" w:sz="0" w:space="0" w:color="auto"/>
                                                                    <w:bottom w:val="none" w:sz="0" w:space="0" w:color="auto"/>
                                                                    <w:right w:val="none" w:sz="0" w:space="0" w:color="auto"/>
                                                                  </w:divBdr>
                                                                  <w:divsChild>
                                                                    <w:div w:id="1542326244">
                                                                      <w:marLeft w:val="0"/>
                                                                      <w:marRight w:val="0"/>
                                                                      <w:marTop w:val="0"/>
                                                                      <w:marBottom w:val="0"/>
                                                                      <w:divBdr>
                                                                        <w:top w:val="none" w:sz="0" w:space="0" w:color="auto"/>
                                                                        <w:left w:val="none" w:sz="0" w:space="0" w:color="auto"/>
                                                                        <w:bottom w:val="none" w:sz="0" w:space="0" w:color="auto"/>
                                                                        <w:right w:val="none" w:sz="0" w:space="0" w:color="auto"/>
                                                                      </w:divBdr>
                                                                      <w:divsChild>
                                                                        <w:div w:id="1980376753">
                                                                          <w:marLeft w:val="-75"/>
                                                                          <w:marRight w:val="0"/>
                                                                          <w:marTop w:val="30"/>
                                                                          <w:marBottom w:val="30"/>
                                                                          <w:divBdr>
                                                                            <w:top w:val="none" w:sz="0" w:space="0" w:color="auto"/>
                                                                            <w:left w:val="none" w:sz="0" w:space="0" w:color="auto"/>
                                                                            <w:bottom w:val="none" w:sz="0" w:space="0" w:color="auto"/>
                                                                            <w:right w:val="none" w:sz="0" w:space="0" w:color="auto"/>
                                                                          </w:divBdr>
                                                                          <w:divsChild>
                                                                            <w:div w:id="393086869">
                                                                              <w:marLeft w:val="0"/>
                                                                              <w:marRight w:val="0"/>
                                                                              <w:marTop w:val="0"/>
                                                                              <w:marBottom w:val="0"/>
                                                                              <w:divBdr>
                                                                                <w:top w:val="none" w:sz="0" w:space="0" w:color="auto"/>
                                                                                <w:left w:val="none" w:sz="0" w:space="0" w:color="auto"/>
                                                                                <w:bottom w:val="none" w:sz="0" w:space="0" w:color="auto"/>
                                                                                <w:right w:val="none" w:sz="0" w:space="0" w:color="auto"/>
                                                                              </w:divBdr>
                                                                              <w:divsChild>
                                                                                <w:div w:id="1644238817">
                                                                                  <w:marLeft w:val="0"/>
                                                                                  <w:marRight w:val="0"/>
                                                                                  <w:marTop w:val="0"/>
                                                                                  <w:marBottom w:val="0"/>
                                                                                  <w:divBdr>
                                                                                    <w:top w:val="none" w:sz="0" w:space="0" w:color="auto"/>
                                                                                    <w:left w:val="none" w:sz="0" w:space="0" w:color="auto"/>
                                                                                    <w:bottom w:val="none" w:sz="0" w:space="0" w:color="auto"/>
                                                                                    <w:right w:val="none" w:sz="0" w:space="0" w:color="auto"/>
                                                                                  </w:divBdr>
                                                                                  <w:divsChild>
                                                                                    <w:div w:id="2045666097">
                                                                                      <w:marLeft w:val="0"/>
                                                                                      <w:marRight w:val="0"/>
                                                                                      <w:marTop w:val="0"/>
                                                                                      <w:marBottom w:val="0"/>
                                                                                      <w:divBdr>
                                                                                        <w:top w:val="none" w:sz="0" w:space="0" w:color="auto"/>
                                                                                        <w:left w:val="none" w:sz="0" w:space="0" w:color="auto"/>
                                                                                        <w:bottom w:val="none" w:sz="0" w:space="0" w:color="auto"/>
                                                                                        <w:right w:val="none" w:sz="0" w:space="0" w:color="auto"/>
                                                                                      </w:divBdr>
                                                                                      <w:divsChild>
                                                                                        <w:div w:id="287781214">
                                                                                          <w:marLeft w:val="0"/>
                                                                                          <w:marRight w:val="0"/>
                                                                                          <w:marTop w:val="0"/>
                                                                                          <w:marBottom w:val="0"/>
                                                                                          <w:divBdr>
                                                                                            <w:top w:val="none" w:sz="0" w:space="0" w:color="auto"/>
                                                                                            <w:left w:val="none" w:sz="0" w:space="0" w:color="auto"/>
                                                                                            <w:bottom w:val="none" w:sz="0" w:space="0" w:color="auto"/>
                                                                                            <w:right w:val="none" w:sz="0" w:space="0" w:color="auto"/>
                                                                                          </w:divBdr>
                                                                                          <w:divsChild>
                                                                                            <w:div w:id="924654731">
                                                                                              <w:marLeft w:val="0"/>
                                                                                              <w:marRight w:val="0"/>
                                                                                              <w:marTop w:val="0"/>
                                                                                              <w:marBottom w:val="0"/>
                                                                                              <w:divBdr>
                                                                                                <w:top w:val="none" w:sz="0" w:space="0" w:color="auto"/>
                                                                                                <w:left w:val="none" w:sz="0" w:space="0" w:color="auto"/>
                                                                                                <w:bottom w:val="none" w:sz="0" w:space="0" w:color="auto"/>
                                                                                                <w:right w:val="none" w:sz="0" w:space="0" w:color="auto"/>
                                                                                              </w:divBdr>
                                                                                            </w:div>
                                                                                            <w:div w:id="1576864999">
                                                                                              <w:marLeft w:val="0"/>
                                                                                              <w:marRight w:val="0"/>
                                                                                              <w:marTop w:val="0"/>
                                                                                              <w:marBottom w:val="0"/>
                                                                                              <w:divBdr>
                                                                                                <w:top w:val="none" w:sz="0" w:space="0" w:color="auto"/>
                                                                                                <w:left w:val="none" w:sz="0" w:space="0" w:color="auto"/>
                                                                                                <w:bottom w:val="none" w:sz="0" w:space="0" w:color="auto"/>
                                                                                                <w:right w:val="none" w:sz="0" w:space="0" w:color="auto"/>
                                                                                              </w:divBdr>
                                                                                            </w:div>
                                                                                            <w:div w:id="21147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616081">
      <w:bodyDiv w:val="1"/>
      <w:marLeft w:val="0"/>
      <w:marRight w:val="0"/>
      <w:marTop w:val="0"/>
      <w:marBottom w:val="0"/>
      <w:divBdr>
        <w:top w:val="none" w:sz="0" w:space="0" w:color="auto"/>
        <w:left w:val="none" w:sz="0" w:space="0" w:color="auto"/>
        <w:bottom w:val="none" w:sz="0" w:space="0" w:color="auto"/>
        <w:right w:val="none" w:sz="0" w:space="0" w:color="auto"/>
      </w:divBdr>
    </w:div>
    <w:div w:id="665480385">
      <w:bodyDiv w:val="1"/>
      <w:marLeft w:val="0"/>
      <w:marRight w:val="0"/>
      <w:marTop w:val="0"/>
      <w:marBottom w:val="0"/>
      <w:divBdr>
        <w:top w:val="none" w:sz="0" w:space="0" w:color="auto"/>
        <w:left w:val="none" w:sz="0" w:space="0" w:color="auto"/>
        <w:bottom w:val="none" w:sz="0" w:space="0" w:color="auto"/>
        <w:right w:val="none" w:sz="0" w:space="0" w:color="auto"/>
      </w:divBdr>
      <w:divsChild>
        <w:div w:id="640770653">
          <w:marLeft w:val="0"/>
          <w:marRight w:val="0"/>
          <w:marTop w:val="0"/>
          <w:marBottom w:val="0"/>
          <w:divBdr>
            <w:top w:val="none" w:sz="0" w:space="0" w:color="auto"/>
            <w:left w:val="none" w:sz="0" w:space="0" w:color="auto"/>
            <w:bottom w:val="none" w:sz="0" w:space="0" w:color="auto"/>
            <w:right w:val="none" w:sz="0" w:space="0" w:color="auto"/>
          </w:divBdr>
          <w:divsChild>
            <w:div w:id="1692956334">
              <w:marLeft w:val="0"/>
              <w:marRight w:val="0"/>
              <w:marTop w:val="0"/>
              <w:marBottom w:val="0"/>
              <w:divBdr>
                <w:top w:val="none" w:sz="0" w:space="0" w:color="auto"/>
                <w:left w:val="none" w:sz="0" w:space="0" w:color="auto"/>
                <w:bottom w:val="none" w:sz="0" w:space="0" w:color="auto"/>
                <w:right w:val="none" w:sz="0" w:space="0" w:color="auto"/>
              </w:divBdr>
              <w:divsChild>
                <w:div w:id="404761035">
                  <w:marLeft w:val="0"/>
                  <w:marRight w:val="0"/>
                  <w:marTop w:val="0"/>
                  <w:marBottom w:val="0"/>
                  <w:divBdr>
                    <w:top w:val="none" w:sz="0" w:space="0" w:color="auto"/>
                    <w:left w:val="none" w:sz="0" w:space="0" w:color="auto"/>
                    <w:bottom w:val="none" w:sz="0" w:space="0" w:color="auto"/>
                    <w:right w:val="none" w:sz="0" w:space="0" w:color="auto"/>
                  </w:divBdr>
                  <w:divsChild>
                    <w:div w:id="364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52114">
      <w:bodyDiv w:val="1"/>
      <w:marLeft w:val="0"/>
      <w:marRight w:val="0"/>
      <w:marTop w:val="0"/>
      <w:marBottom w:val="0"/>
      <w:divBdr>
        <w:top w:val="none" w:sz="0" w:space="0" w:color="auto"/>
        <w:left w:val="none" w:sz="0" w:space="0" w:color="auto"/>
        <w:bottom w:val="none" w:sz="0" w:space="0" w:color="auto"/>
        <w:right w:val="none" w:sz="0" w:space="0" w:color="auto"/>
      </w:divBdr>
    </w:div>
    <w:div w:id="690957916">
      <w:bodyDiv w:val="1"/>
      <w:marLeft w:val="0"/>
      <w:marRight w:val="0"/>
      <w:marTop w:val="0"/>
      <w:marBottom w:val="0"/>
      <w:divBdr>
        <w:top w:val="none" w:sz="0" w:space="0" w:color="auto"/>
        <w:left w:val="none" w:sz="0" w:space="0" w:color="auto"/>
        <w:bottom w:val="none" w:sz="0" w:space="0" w:color="auto"/>
        <w:right w:val="none" w:sz="0" w:space="0" w:color="auto"/>
      </w:divBdr>
    </w:div>
    <w:div w:id="704911097">
      <w:bodyDiv w:val="1"/>
      <w:marLeft w:val="0"/>
      <w:marRight w:val="0"/>
      <w:marTop w:val="0"/>
      <w:marBottom w:val="0"/>
      <w:divBdr>
        <w:top w:val="none" w:sz="0" w:space="0" w:color="auto"/>
        <w:left w:val="none" w:sz="0" w:space="0" w:color="auto"/>
        <w:bottom w:val="none" w:sz="0" w:space="0" w:color="auto"/>
        <w:right w:val="none" w:sz="0" w:space="0" w:color="auto"/>
      </w:divBdr>
    </w:div>
    <w:div w:id="731855844">
      <w:bodyDiv w:val="1"/>
      <w:marLeft w:val="0"/>
      <w:marRight w:val="0"/>
      <w:marTop w:val="0"/>
      <w:marBottom w:val="0"/>
      <w:divBdr>
        <w:top w:val="none" w:sz="0" w:space="0" w:color="auto"/>
        <w:left w:val="none" w:sz="0" w:space="0" w:color="auto"/>
        <w:bottom w:val="none" w:sz="0" w:space="0" w:color="auto"/>
        <w:right w:val="none" w:sz="0" w:space="0" w:color="auto"/>
      </w:divBdr>
    </w:div>
    <w:div w:id="754253839">
      <w:bodyDiv w:val="1"/>
      <w:marLeft w:val="0"/>
      <w:marRight w:val="0"/>
      <w:marTop w:val="0"/>
      <w:marBottom w:val="0"/>
      <w:divBdr>
        <w:top w:val="none" w:sz="0" w:space="0" w:color="auto"/>
        <w:left w:val="none" w:sz="0" w:space="0" w:color="auto"/>
        <w:bottom w:val="none" w:sz="0" w:space="0" w:color="auto"/>
        <w:right w:val="none" w:sz="0" w:space="0" w:color="auto"/>
      </w:divBdr>
    </w:div>
    <w:div w:id="762992048">
      <w:bodyDiv w:val="1"/>
      <w:marLeft w:val="0"/>
      <w:marRight w:val="0"/>
      <w:marTop w:val="0"/>
      <w:marBottom w:val="0"/>
      <w:divBdr>
        <w:top w:val="none" w:sz="0" w:space="0" w:color="auto"/>
        <w:left w:val="none" w:sz="0" w:space="0" w:color="auto"/>
        <w:bottom w:val="none" w:sz="0" w:space="0" w:color="auto"/>
        <w:right w:val="none" w:sz="0" w:space="0" w:color="auto"/>
      </w:divBdr>
    </w:div>
    <w:div w:id="765269531">
      <w:bodyDiv w:val="1"/>
      <w:marLeft w:val="0"/>
      <w:marRight w:val="0"/>
      <w:marTop w:val="0"/>
      <w:marBottom w:val="0"/>
      <w:divBdr>
        <w:top w:val="none" w:sz="0" w:space="0" w:color="auto"/>
        <w:left w:val="none" w:sz="0" w:space="0" w:color="auto"/>
        <w:bottom w:val="none" w:sz="0" w:space="0" w:color="auto"/>
        <w:right w:val="none" w:sz="0" w:space="0" w:color="auto"/>
      </w:divBdr>
    </w:div>
    <w:div w:id="793716130">
      <w:bodyDiv w:val="1"/>
      <w:marLeft w:val="0"/>
      <w:marRight w:val="0"/>
      <w:marTop w:val="0"/>
      <w:marBottom w:val="0"/>
      <w:divBdr>
        <w:top w:val="none" w:sz="0" w:space="0" w:color="auto"/>
        <w:left w:val="none" w:sz="0" w:space="0" w:color="auto"/>
        <w:bottom w:val="none" w:sz="0" w:space="0" w:color="auto"/>
        <w:right w:val="none" w:sz="0" w:space="0" w:color="auto"/>
      </w:divBdr>
    </w:div>
    <w:div w:id="795638638">
      <w:bodyDiv w:val="1"/>
      <w:marLeft w:val="0"/>
      <w:marRight w:val="0"/>
      <w:marTop w:val="0"/>
      <w:marBottom w:val="0"/>
      <w:divBdr>
        <w:top w:val="none" w:sz="0" w:space="0" w:color="auto"/>
        <w:left w:val="none" w:sz="0" w:space="0" w:color="auto"/>
        <w:bottom w:val="none" w:sz="0" w:space="0" w:color="auto"/>
        <w:right w:val="none" w:sz="0" w:space="0" w:color="auto"/>
      </w:divBdr>
    </w:div>
    <w:div w:id="798694176">
      <w:bodyDiv w:val="1"/>
      <w:marLeft w:val="0"/>
      <w:marRight w:val="0"/>
      <w:marTop w:val="0"/>
      <w:marBottom w:val="0"/>
      <w:divBdr>
        <w:top w:val="none" w:sz="0" w:space="0" w:color="auto"/>
        <w:left w:val="none" w:sz="0" w:space="0" w:color="auto"/>
        <w:bottom w:val="none" w:sz="0" w:space="0" w:color="auto"/>
        <w:right w:val="none" w:sz="0" w:space="0" w:color="auto"/>
      </w:divBdr>
    </w:div>
    <w:div w:id="807744931">
      <w:bodyDiv w:val="1"/>
      <w:marLeft w:val="0"/>
      <w:marRight w:val="0"/>
      <w:marTop w:val="0"/>
      <w:marBottom w:val="0"/>
      <w:divBdr>
        <w:top w:val="none" w:sz="0" w:space="0" w:color="auto"/>
        <w:left w:val="none" w:sz="0" w:space="0" w:color="auto"/>
        <w:bottom w:val="none" w:sz="0" w:space="0" w:color="auto"/>
        <w:right w:val="none" w:sz="0" w:space="0" w:color="auto"/>
      </w:divBdr>
    </w:div>
    <w:div w:id="815099778">
      <w:bodyDiv w:val="1"/>
      <w:marLeft w:val="0"/>
      <w:marRight w:val="0"/>
      <w:marTop w:val="0"/>
      <w:marBottom w:val="0"/>
      <w:divBdr>
        <w:top w:val="none" w:sz="0" w:space="0" w:color="auto"/>
        <w:left w:val="none" w:sz="0" w:space="0" w:color="auto"/>
        <w:bottom w:val="none" w:sz="0" w:space="0" w:color="auto"/>
        <w:right w:val="none" w:sz="0" w:space="0" w:color="auto"/>
      </w:divBdr>
    </w:div>
    <w:div w:id="815949963">
      <w:bodyDiv w:val="1"/>
      <w:marLeft w:val="0"/>
      <w:marRight w:val="0"/>
      <w:marTop w:val="0"/>
      <w:marBottom w:val="0"/>
      <w:divBdr>
        <w:top w:val="none" w:sz="0" w:space="0" w:color="auto"/>
        <w:left w:val="none" w:sz="0" w:space="0" w:color="auto"/>
        <w:bottom w:val="none" w:sz="0" w:space="0" w:color="auto"/>
        <w:right w:val="none" w:sz="0" w:space="0" w:color="auto"/>
      </w:divBdr>
    </w:div>
    <w:div w:id="830604747">
      <w:bodyDiv w:val="1"/>
      <w:marLeft w:val="0"/>
      <w:marRight w:val="0"/>
      <w:marTop w:val="0"/>
      <w:marBottom w:val="0"/>
      <w:divBdr>
        <w:top w:val="none" w:sz="0" w:space="0" w:color="auto"/>
        <w:left w:val="none" w:sz="0" w:space="0" w:color="auto"/>
        <w:bottom w:val="none" w:sz="0" w:space="0" w:color="auto"/>
        <w:right w:val="none" w:sz="0" w:space="0" w:color="auto"/>
      </w:divBdr>
    </w:div>
    <w:div w:id="946349728">
      <w:bodyDiv w:val="1"/>
      <w:marLeft w:val="0"/>
      <w:marRight w:val="0"/>
      <w:marTop w:val="0"/>
      <w:marBottom w:val="0"/>
      <w:divBdr>
        <w:top w:val="none" w:sz="0" w:space="0" w:color="auto"/>
        <w:left w:val="none" w:sz="0" w:space="0" w:color="auto"/>
        <w:bottom w:val="none" w:sz="0" w:space="0" w:color="auto"/>
        <w:right w:val="none" w:sz="0" w:space="0" w:color="auto"/>
      </w:divBdr>
      <w:divsChild>
        <w:div w:id="2036540680">
          <w:marLeft w:val="0"/>
          <w:marRight w:val="0"/>
          <w:marTop w:val="0"/>
          <w:marBottom w:val="0"/>
          <w:divBdr>
            <w:top w:val="none" w:sz="0" w:space="0" w:color="auto"/>
            <w:left w:val="none" w:sz="0" w:space="0" w:color="auto"/>
            <w:bottom w:val="none" w:sz="0" w:space="0" w:color="auto"/>
            <w:right w:val="none" w:sz="0" w:space="0" w:color="auto"/>
          </w:divBdr>
          <w:divsChild>
            <w:div w:id="1508250048">
              <w:marLeft w:val="0"/>
              <w:marRight w:val="0"/>
              <w:marTop w:val="0"/>
              <w:marBottom w:val="0"/>
              <w:divBdr>
                <w:top w:val="none" w:sz="0" w:space="0" w:color="auto"/>
                <w:left w:val="none" w:sz="0" w:space="0" w:color="auto"/>
                <w:bottom w:val="none" w:sz="0" w:space="0" w:color="auto"/>
                <w:right w:val="none" w:sz="0" w:space="0" w:color="auto"/>
              </w:divBdr>
              <w:divsChild>
                <w:div w:id="159734479">
                  <w:marLeft w:val="0"/>
                  <w:marRight w:val="0"/>
                  <w:marTop w:val="0"/>
                  <w:marBottom w:val="0"/>
                  <w:divBdr>
                    <w:top w:val="none" w:sz="0" w:space="0" w:color="auto"/>
                    <w:left w:val="none" w:sz="0" w:space="0" w:color="auto"/>
                    <w:bottom w:val="none" w:sz="0" w:space="0" w:color="auto"/>
                    <w:right w:val="none" w:sz="0" w:space="0" w:color="auto"/>
                  </w:divBdr>
                  <w:divsChild>
                    <w:div w:id="101801310">
                      <w:marLeft w:val="0"/>
                      <w:marRight w:val="0"/>
                      <w:marTop w:val="0"/>
                      <w:marBottom w:val="0"/>
                      <w:divBdr>
                        <w:top w:val="none" w:sz="0" w:space="0" w:color="auto"/>
                        <w:left w:val="none" w:sz="0" w:space="0" w:color="auto"/>
                        <w:bottom w:val="none" w:sz="0" w:space="0" w:color="auto"/>
                        <w:right w:val="none" w:sz="0" w:space="0" w:color="auto"/>
                      </w:divBdr>
                      <w:divsChild>
                        <w:div w:id="2079135722">
                          <w:marLeft w:val="0"/>
                          <w:marRight w:val="0"/>
                          <w:marTop w:val="0"/>
                          <w:marBottom w:val="0"/>
                          <w:divBdr>
                            <w:top w:val="none" w:sz="0" w:space="0" w:color="auto"/>
                            <w:left w:val="none" w:sz="0" w:space="0" w:color="auto"/>
                            <w:bottom w:val="none" w:sz="0" w:space="0" w:color="auto"/>
                            <w:right w:val="none" w:sz="0" w:space="0" w:color="auto"/>
                          </w:divBdr>
                          <w:divsChild>
                            <w:div w:id="706104665">
                              <w:marLeft w:val="0"/>
                              <w:marRight w:val="0"/>
                              <w:marTop w:val="0"/>
                              <w:marBottom w:val="0"/>
                              <w:divBdr>
                                <w:top w:val="none" w:sz="0" w:space="0" w:color="auto"/>
                                <w:left w:val="none" w:sz="0" w:space="0" w:color="auto"/>
                                <w:bottom w:val="none" w:sz="0" w:space="0" w:color="auto"/>
                                <w:right w:val="none" w:sz="0" w:space="0" w:color="auto"/>
                              </w:divBdr>
                              <w:divsChild>
                                <w:div w:id="1910535521">
                                  <w:marLeft w:val="0"/>
                                  <w:marRight w:val="0"/>
                                  <w:marTop w:val="0"/>
                                  <w:marBottom w:val="0"/>
                                  <w:divBdr>
                                    <w:top w:val="none" w:sz="0" w:space="0" w:color="auto"/>
                                    <w:left w:val="none" w:sz="0" w:space="0" w:color="auto"/>
                                    <w:bottom w:val="none" w:sz="0" w:space="0" w:color="auto"/>
                                    <w:right w:val="none" w:sz="0" w:space="0" w:color="auto"/>
                                  </w:divBdr>
                                  <w:divsChild>
                                    <w:div w:id="2001078155">
                                      <w:marLeft w:val="0"/>
                                      <w:marRight w:val="0"/>
                                      <w:marTop w:val="0"/>
                                      <w:marBottom w:val="0"/>
                                      <w:divBdr>
                                        <w:top w:val="none" w:sz="0" w:space="0" w:color="auto"/>
                                        <w:left w:val="none" w:sz="0" w:space="0" w:color="auto"/>
                                        <w:bottom w:val="none" w:sz="0" w:space="0" w:color="auto"/>
                                        <w:right w:val="none" w:sz="0" w:space="0" w:color="auto"/>
                                      </w:divBdr>
                                      <w:divsChild>
                                        <w:div w:id="1945456538">
                                          <w:marLeft w:val="0"/>
                                          <w:marRight w:val="0"/>
                                          <w:marTop w:val="0"/>
                                          <w:marBottom w:val="0"/>
                                          <w:divBdr>
                                            <w:top w:val="none" w:sz="0" w:space="0" w:color="auto"/>
                                            <w:left w:val="none" w:sz="0" w:space="0" w:color="auto"/>
                                            <w:bottom w:val="none" w:sz="0" w:space="0" w:color="auto"/>
                                            <w:right w:val="none" w:sz="0" w:space="0" w:color="auto"/>
                                          </w:divBdr>
                                          <w:divsChild>
                                            <w:div w:id="352077668">
                                              <w:marLeft w:val="0"/>
                                              <w:marRight w:val="0"/>
                                              <w:marTop w:val="0"/>
                                              <w:marBottom w:val="0"/>
                                              <w:divBdr>
                                                <w:top w:val="none" w:sz="0" w:space="0" w:color="auto"/>
                                                <w:left w:val="none" w:sz="0" w:space="0" w:color="auto"/>
                                                <w:bottom w:val="none" w:sz="0" w:space="0" w:color="auto"/>
                                                <w:right w:val="none" w:sz="0" w:space="0" w:color="auto"/>
                                              </w:divBdr>
                                              <w:divsChild>
                                                <w:div w:id="809326582">
                                                  <w:marLeft w:val="0"/>
                                                  <w:marRight w:val="0"/>
                                                  <w:marTop w:val="0"/>
                                                  <w:marBottom w:val="0"/>
                                                  <w:divBdr>
                                                    <w:top w:val="none" w:sz="0" w:space="0" w:color="auto"/>
                                                    <w:left w:val="none" w:sz="0" w:space="0" w:color="auto"/>
                                                    <w:bottom w:val="none" w:sz="0" w:space="0" w:color="auto"/>
                                                    <w:right w:val="none" w:sz="0" w:space="0" w:color="auto"/>
                                                  </w:divBdr>
                                                  <w:divsChild>
                                                    <w:div w:id="1508861390">
                                                      <w:marLeft w:val="0"/>
                                                      <w:marRight w:val="0"/>
                                                      <w:marTop w:val="0"/>
                                                      <w:marBottom w:val="0"/>
                                                      <w:divBdr>
                                                        <w:top w:val="single" w:sz="6" w:space="0" w:color="ABABAB"/>
                                                        <w:left w:val="single" w:sz="6" w:space="0" w:color="ABABAB"/>
                                                        <w:bottom w:val="none" w:sz="0" w:space="0" w:color="auto"/>
                                                        <w:right w:val="single" w:sz="6" w:space="0" w:color="ABABAB"/>
                                                      </w:divBdr>
                                                      <w:divsChild>
                                                        <w:div w:id="1777402976">
                                                          <w:marLeft w:val="0"/>
                                                          <w:marRight w:val="0"/>
                                                          <w:marTop w:val="0"/>
                                                          <w:marBottom w:val="0"/>
                                                          <w:divBdr>
                                                            <w:top w:val="none" w:sz="0" w:space="0" w:color="auto"/>
                                                            <w:left w:val="none" w:sz="0" w:space="0" w:color="auto"/>
                                                            <w:bottom w:val="none" w:sz="0" w:space="0" w:color="auto"/>
                                                            <w:right w:val="none" w:sz="0" w:space="0" w:color="auto"/>
                                                          </w:divBdr>
                                                          <w:divsChild>
                                                            <w:div w:id="2138864952">
                                                              <w:marLeft w:val="0"/>
                                                              <w:marRight w:val="0"/>
                                                              <w:marTop w:val="0"/>
                                                              <w:marBottom w:val="0"/>
                                                              <w:divBdr>
                                                                <w:top w:val="none" w:sz="0" w:space="0" w:color="auto"/>
                                                                <w:left w:val="none" w:sz="0" w:space="0" w:color="auto"/>
                                                                <w:bottom w:val="none" w:sz="0" w:space="0" w:color="auto"/>
                                                                <w:right w:val="none" w:sz="0" w:space="0" w:color="auto"/>
                                                              </w:divBdr>
                                                              <w:divsChild>
                                                                <w:div w:id="1779639105">
                                                                  <w:marLeft w:val="0"/>
                                                                  <w:marRight w:val="0"/>
                                                                  <w:marTop w:val="0"/>
                                                                  <w:marBottom w:val="0"/>
                                                                  <w:divBdr>
                                                                    <w:top w:val="none" w:sz="0" w:space="0" w:color="auto"/>
                                                                    <w:left w:val="none" w:sz="0" w:space="0" w:color="auto"/>
                                                                    <w:bottom w:val="none" w:sz="0" w:space="0" w:color="auto"/>
                                                                    <w:right w:val="none" w:sz="0" w:space="0" w:color="auto"/>
                                                                  </w:divBdr>
                                                                  <w:divsChild>
                                                                    <w:div w:id="286670094">
                                                                      <w:marLeft w:val="0"/>
                                                                      <w:marRight w:val="0"/>
                                                                      <w:marTop w:val="0"/>
                                                                      <w:marBottom w:val="0"/>
                                                                      <w:divBdr>
                                                                        <w:top w:val="none" w:sz="0" w:space="0" w:color="auto"/>
                                                                        <w:left w:val="none" w:sz="0" w:space="0" w:color="auto"/>
                                                                        <w:bottom w:val="none" w:sz="0" w:space="0" w:color="auto"/>
                                                                        <w:right w:val="none" w:sz="0" w:space="0" w:color="auto"/>
                                                                      </w:divBdr>
                                                                      <w:divsChild>
                                                                        <w:div w:id="1763450546">
                                                                          <w:marLeft w:val="-75"/>
                                                                          <w:marRight w:val="0"/>
                                                                          <w:marTop w:val="30"/>
                                                                          <w:marBottom w:val="30"/>
                                                                          <w:divBdr>
                                                                            <w:top w:val="none" w:sz="0" w:space="0" w:color="auto"/>
                                                                            <w:left w:val="none" w:sz="0" w:space="0" w:color="auto"/>
                                                                            <w:bottom w:val="none" w:sz="0" w:space="0" w:color="auto"/>
                                                                            <w:right w:val="none" w:sz="0" w:space="0" w:color="auto"/>
                                                                          </w:divBdr>
                                                                          <w:divsChild>
                                                                            <w:div w:id="800153386">
                                                                              <w:marLeft w:val="0"/>
                                                                              <w:marRight w:val="0"/>
                                                                              <w:marTop w:val="0"/>
                                                                              <w:marBottom w:val="0"/>
                                                                              <w:divBdr>
                                                                                <w:top w:val="none" w:sz="0" w:space="0" w:color="auto"/>
                                                                                <w:left w:val="none" w:sz="0" w:space="0" w:color="auto"/>
                                                                                <w:bottom w:val="none" w:sz="0" w:space="0" w:color="auto"/>
                                                                                <w:right w:val="none" w:sz="0" w:space="0" w:color="auto"/>
                                                                              </w:divBdr>
                                                                              <w:divsChild>
                                                                                <w:div w:id="224538105">
                                                                                  <w:marLeft w:val="0"/>
                                                                                  <w:marRight w:val="0"/>
                                                                                  <w:marTop w:val="0"/>
                                                                                  <w:marBottom w:val="0"/>
                                                                                  <w:divBdr>
                                                                                    <w:top w:val="none" w:sz="0" w:space="0" w:color="auto"/>
                                                                                    <w:left w:val="none" w:sz="0" w:space="0" w:color="auto"/>
                                                                                    <w:bottom w:val="none" w:sz="0" w:space="0" w:color="auto"/>
                                                                                    <w:right w:val="none" w:sz="0" w:space="0" w:color="auto"/>
                                                                                  </w:divBdr>
                                                                                  <w:divsChild>
                                                                                    <w:div w:id="366491739">
                                                                                      <w:marLeft w:val="0"/>
                                                                                      <w:marRight w:val="0"/>
                                                                                      <w:marTop w:val="0"/>
                                                                                      <w:marBottom w:val="0"/>
                                                                                      <w:divBdr>
                                                                                        <w:top w:val="none" w:sz="0" w:space="0" w:color="auto"/>
                                                                                        <w:left w:val="none" w:sz="0" w:space="0" w:color="auto"/>
                                                                                        <w:bottom w:val="none" w:sz="0" w:space="0" w:color="auto"/>
                                                                                        <w:right w:val="none" w:sz="0" w:space="0" w:color="auto"/>
                                                                                      </w:divBdr>
                                                                                      <w:divsChild>
                                                                                        <w:div w:id="1483161341">
                                                                                          <w:marLeft w:val="0"/>
                                                                                          <w:marRight w:val="0"/>
                                                                                          <w:marTop w:val="0"/>
                                                                                          <w:marBottom w:val="0"/>
                                                                                          <w:divBdr>
                                                                                            <w:top w:val="none" w:sz="0" w:space="0" w:color="auto"/>
                                                                                            <w:left w:val="none" w:sz="0" w:space="0" w:color="auto"/>
                                                                                            <w:bottom w:val="none" w:sz="0" w:space="0" w:color="auto"/>
                                                                                            <w:right w:val="none" w:sz="0" w:space="0" w:color="auto"/>
                                                                                          </w:divBdr>
                                                                                          <w:divsChild>
                                                                                            <w:div w:id="1052122460">
                                                                                              <w:marLeft w:val="0"/>
                                                                                              <w:marRight w:val="0"/>
                                                                                              <w:marTop w:val="0"/>
                                                                                              <w:marBottom w:val="0"/>
                                                                                              <w:divBdr>
                                                                                                <w:top w:val="none" w:sz="0" w:space="0" w:color="auto"/>
                                                                                                <w:left w:val="none" w:sz="0" w:space="0" w:color="auto"/>
                                                                                                <w:bottom w:val="none" w:sz="0" w:space="0" w:color="auto"/>
                                                                                                <w:right w:val="none" w:sz="0" w:space="0" w:color="auto"/>
                                                                                              </w:divBdr>
                                                                                              <w:divsChild>
                                                                                                <w:div w:id="594483988">
                                                                                                  <w:marLeft w:val="0"/>
                                                                                                  <w:marRight w:val="0"/>
                                                                                                  <w:marTop w:val="0"/>
                                                                                                  <w:marBottom w:val="0"/>
                                                                                                  <w:divBdr>
                                                                                                    <w:top w:val="none" w:sz="0" w:space="0" w:color="auto"/>
                                                                                                    <w:left w:val="none" w:sz="0" w:space="0" w:color="auto"/>
                                                                                                    <w:bottom w:val="none" w:sz="0" w:space="0" w:color="auto"/>
                                                                                                    <w:right w:val="none" w:sz="0" w:space="0" w:color="auto"/>
                                                                                                  </w:divBdr>
                                                                                                </w:div>
                                                                                                <w:div w:id="1227061955">
                                                                                                  <w:marLeft w:val="0"/>
                                                                                                  <w:marRight w:val="0"/>
                                                                                                  <w:marTop w:val="0"/>
                                                                                                  <w:marBottom w:val="0"/>
                                                                                                  <w:divBdr>
                                                                                                    <w:top w:val="none" w:sz="0" w:space="0" w:color="auto"/>
                                                                                                    <w:left w:val="none" w:sz="0" w:space="0" w:color="auto"/>
                                                                                                    <w:bottom w:val="none" w:sz="0" w:space="0" w:color="auto"/>
                                                                                                    <w:right w:val="none" w:sz="0" w:space="0" w:color="auto"/>
                                                                                                  </w:divBdr>
                                                                                                </w:div>
                                                                                                <w:div w:id="1393192921">
                                                                                                  <w:marLeft w:val="0"/>
                                                                                                  <w:marRight w:val="0"/>
                                                                                                  <w:marTop w:val="0"/>
                                                                                                  <w:marBottom w:val="0"/>
                                                                                                  <w:divBdr>
                                                                                                    <w:top w:val="none" w:sz="0" w:space="0" w:color="auto"/>
                                                                                                    <w:left w:val="none" w:sz="0" w:space="0" w:color="auto"/>
                                                                                                    <w:bottom w:val="none" w:sz="0" w:space="0" w:color="auto"/>
                                                                                                    <w:right w:val="none" w:sz="0" w:space="0" w:color="auto"/>
                                                                                                  </w:divBdr>
                                                                                                </w:div>
                                                                                                <w:div w:id="20960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53948863">
      <w:bodyDiv w:val="1"/>
      <w:marLeft w:val="0"/>
      <w:marRight w:val="0"/>
      <w:marTop w:val="0"/>
      <w:marBottom w:val="0"/>
      <w:divBdr>
        <w:top w:val="none" w:sz="0" w:space="0" w:color="auto"/>
        <w:left w:val="none" w:sz="0" w:space="0" w:color="auto"/>
        <w:bottom w:val="none" w:sz="0" w:space="0" w:color="auto"/>
        <w:right w:val="none" w:sz="0" w:space="0" w:color="auto"/>
      </w:divBdr>
    </w:div>
    <w:div w:id="957102631">
      <w:bodyDiv w:val="1"/>
      <w:marLeft w:val="0"/>
      <w:marRight w:val="0"/>
      <w:marTop w:val="0"/>
      <w:marBottom w:val="0"/>
      <w:divBdr>
        <w:top w:val="none" w:sz="0" w:space="0" w:color="auto"/>
        <w:left w:val="none" w:sz="0" w:space="0" w:color="auto"/>
        <w:bottom w:val="none" w:sz="0" w:space="0" w:color="auto"/>
        <w:right w:val="none" w:sz="0" w:space="0" w:color="auto"/>
      </w:divBdr>
    </w:div>
    <w:div w:id="968171521">
      <w:bodyDiv w:val="1"/>
      <w:marLeft w:val="0"/>
      <w:marRight w:val="0"/>
      <w:marTop w:val="0"/>
      <w:marBottom w:val="0"/>
      <w:divBdr>
        <w:top w:val="none" w:sz="0" w:space="0" w:color="auto"/>
        <w:left w:val="none" w:sz="0" w:space="0" w:color="auto"/>
        <w:bottom w:val="none" w:sz="0" w:space="0" w:color="auto"/>
        <w:right w:val="none" w:sz="0" w:space="0" w:color="auto"/>
      </w:divBdr>
    </w:div>
    <w:div w:id="984623546">
      <w:bodyDiv w:val="1"/>
      <w:marLeft w:val="0"/>
      <w:marRight w:val="0"/>
      <w:marTop w:val="0"/>
      <w:marBottom w:val="0"/>
      <w:divBdr>
        <w:top w:val="none" w:sz="0" w:space="0" w:color="auto"/>
        <w:left w:val="none" w:sz="0" w:space="0" w:color="auto"/>
        <w:bottom w:val="none" w:sz="0" w:space="0" w:color="auto"/>
        <w:right w:val="none" w:sz="0" w:space="0" w:color="auto"/>
      </w:divBdr>
    </w:div>
    <w:div w:id="998921706">
      <w:bodyDiv w:val="1"/>
      <w:marLeft w:val="0"/>
      <w:marRight w:val="0"/>
      <w:marTop w:val="0"/>
      <w:marBottom w:val="0"/>
      <w:divBdr>
        <w:top w:val="none" w:sz="0" w:space="0" w:color="auto"/>
        <w:left w:val="none" w:sz="0" w:space="0" w:color="auto"/>
        <w:bottom w:val="none" w:sz="0" w:space="0" w:color="auto"/>
        <w:right w:val="none" w:sz="0" w:space="0" w:color="auto"/>
      </w:divBdr>
    </w:div>
    <w:div w:id="1013801171">
      <w:bodyDiv w:val="1"/>
      <w:marLeft w:val="0"/>
      <w:marRight w:val="0"/>
      <w:marTop w:val="0"/>
      <w:marBottom w:val="0"/>
      <w:divBdr>
        <w:top w:val="none" w:sz="0" w:space="0" w:color="auto"/>
        <w:left w:val="none" w:sz="0" w:space="0" w:color="auto"/>
        <w:bottom w:val="none" w:sz="0" w:space="0" w:color="auto"/>
        <w:right w:val="none" w:sz="0" w:space="0" w:color="auto"/>
      </w:divBdr>
    </w:div>
    <w:div w:id="1026980742">
      <w:bodyDiv w:val="1"/>
      <w:marLeft w:val="0"/>
      <w:marRight w:val="0"/>
      <w:marTop w:val="0"/>
      <w:marBottom w:val="0"/>
      <w:divBdr>
        <w:top w:val="none" w:sz="0" w:space="0" w:color="auto"/>
        <w:left w:val="none" w:sz="0" w:space="0" w:color="auto"/>
        <w:bottom w:val="none" w:sz="0" w:space="0" w:color="auto"/>
        <w:right w:val="none" w:sz="0" w:space="0" w:color="auto"/>
      </w:divBdr>
    </w:div>
    <w:div w:id="1047333655">
      <w:bodyDiv w:val="1"/>
      <w:marLeft w:val="0"/>
      <w:marRight w:val="0"/>
      <w:marTop w:val="0"/>
      <w:marBottom w:val="0"/>
      <w:divBdr>
        <w:top w:val="none" w:sz="0" w:space="0" w:color="auto"/>
        <w:left w:val="none" w:sz="0" w:space="0" w:color="auto"/>
        <w:bottom w:val="none" w:sz="0" w:space="0" w:color="auto"/>
        <w:right w:val="none" w:sz="0" w:space="0" w:color="auto"/>
      </w:divBdr>
    </w:div>
    <w:div w:id="1059288556">
      <w:bodyDiv w:val="1"/>
      <w:marLeft w:val="0"/>
      <w:marRight w:val="0"/>
      <w:marTop w:val="0"/>
      <w:marBottom w:val="0"/>
      <w:divBdr>
        <w:top w:val="none" w:sz="0" w:space="0" w:color="auto"/>
        <w:left w:val="none" w:sz="0" w:space="0" w:color="auto"/>
        <w:bottom w:val="none" w:sz="0" w:space="0" w:color="auto"/>
        <w:right w:val="none" w:sz="0" w:space="0" w:color="auto"/>
      </w:divBdr>
    </w:div>
    <w:div w:id="1059866488">
      <w:bodyDiv w:val="1"/>
      <w:marLeft w:val="0"/>
      <w:marRight w:val="0"/>
      <w:marTop w:val="0"/>
      <w:marBottom w:val="0"/>
      <w:divBdr>
        <w:top w:val="none" w:sz="0" w:space="0" w:color="auto"/>
        <w:left w:val="none" w:sz="0" w:space="0" w:color="auto"/>
        <w:bottom w:val="none" w:sz="0" w:space="0" w:color="auto"/>
        <w:right w:val="none" w:sz="0" w:space="0" w:color="auto"/>
      </w:divBdr>
    </w:div>
    <w:div w:id="1083448761">
      <w:bodyDiv w:val="1"/>
      <w:marLeft w:val="0"/>
      <w:marRight w:val="0"/>
      <w:marTop w:val="0"/>
      <w:marBottom w:val="0"/>
      <w:divBdr>
        <w:top w:val="none" w:sz="0" w:space="0" w:color="auto"/>
        <w:left w:val="none" w:sz="0" w:space="0" w:color="auto"/>
        <w:bottom w:val="none" w:sz="0" w:space="0" w:color="auto"/>
        <w:right w:val="none" w:sz="0" w:space="0" w:color="auto"/>
      </w:divBdr>
    </w:div>
    <w:div w:id="1096436112">
      <w:bodyDiv w:val="1"/>
      <w:marLeft w:val="0"/>
      <w:marRight w:val="0"/>
      <w:marTop w:val="0"/>
      <w:marBottom w:val="0"/>
      <w:divBdr>
        <w:top w:val="none" w:sz="0" w:space="0" w:color="auto"/>
        <w:left w:val="none" w:sz="0" w:space="0" w:color="auto"/>
        <w:bottom w:val="none" w:sz="0" w:space="0" w:color="auto"/>
        <w:right w:val="none" w:sz="0" w:space="0" w:color="auto"/>
      </w:divBdr>
    </w:div>
    <w:div w:id="1097601083">
      <w:bodyDiv w:val="1"/>
      <w:marLeft w:val="0"/>
      <w:marRight w:val="0"/>
      <w:marTop w:val="0"/>
      <w:marBottom w:val="0"/>
      <w:divBdr>
        <w:top w:val="none" w:sz="0" w:space="0" w:color="auto"/>
        <w:left w:val="none" w:sz="0" w:space="0" w:color="auto"/>
        <w:bottom w:val="none" w:sz="0" w:space="0" w:color="auto"/>
        <w:right w:val="none" w:sz="0" w:space="0" w:color="auto"/>
      </w:divBdr>
    </w:div>
    <w:div w:id="1098061016">
      <w:bodyDiv w:val="1"/>
      <w:marLeft w:val="0"/>
      <w:marRight w:val="0"/>
      <w:marTop w:val="0"/>
      <w:marBottom w:val="0"/>
      <w:divBdr>
        <w:top w:val="none" w:sz="0" w:space="0" w:color="auto"/>
        <w:left w:val="none" w:sz="0" w:space="0" w:color="auto"/>
        <w:bottom w:val="none" w:sz="0" w:space="0" w:color="auto"/>
        <w:right w:val="none" w:sz="0" w:space="0" w:color="auto"/>
      </w:divBdr>
    </w:div>
    <w:div w:id="1115563314">
      <w:bodyDiv w:val="1"/>
      <w:marLeft w:val="0"/>
      <w:marRight w:val="0"/>
      <w:marTop w:val="0"/>
      <w:marBottom w:val="0"/>
      <w:divBdr>
        <w:top w:val="none" w:sz="0" w:space="0" w:color="auto"/>
        <w:left w:val="none" w:sz="0" w:space="0" w:color="auto"/>
        <w:bottom w:val="none" w:sz="0" w:space="0" w:color="auto"/>
        <w:right w:val="none" w:sz="0" w:space="0" w:color="auto"/>
      </w:divBdr>
    </w:div>
    <w:div w:id="1139423382">
      <w:bodyDiv w:val="1"/>
      <w:marLeft w:val="0"/>
      <w:marRight w:val="0"/>
      <w:marTop w:val="0"/>
      <w:marBottom w:val="0"/>
      <w:divBdr>
        <w:top w:val="none" w:sz="0" w:space="0" w:color="auto"/>
        <w:left w:val="none" w:sz="0" w:space="0" w:color="auto"/>
        <w:bottom w:val="none" w:sz="0" w:space="0" w:color="auto"/>
        <w:right w:val="none" w:sz="0" w:space="0" w:color="auto"/>
      </w:divBdr>
    </w:div>
    <w:div w:id="1175145799">
      <w:bodyDiv w:val="1"/>
      <w:marLeft w:val="0"/>
      <w:marRight w:val="0"/>
      <w:marTop w:val="0"/>
      <w:marBottom w:val="0"/>
      <w:divBdr>
        <w:top w:val="none" w:sz="0" w:space="0" w:color="auto"/>
        <w:left w:val="none" w:sz="0" w:space="0" w:color="auto"/>
        <w:bottom w:val="none" w:sz="0" w:space="0" w:color="auto"/>
        <w:right w:val="none" w:sz="0" w:space="0" w:color="auto"/>
      </w:divBdr>
    </w:div>
    <w:div w:id="1178539983">
      <w:bodyDiv w:val="1"/>
      <w:marLeft w:val="0"/>
      <w:marRight w:val="0"/>
      <w:marTop w:val="0"/>
      <w:marBottom w:val="0"/>
      <w:divBdr>
        <w:top w:val="none" w:sz="0" w:space="0" w:color="auto"/>
        <w:left w:val="none" w:sz="0" w:space="0" w:color="auto"/>
        <w:bottom w:val="none" w:sz="0" w:space="0" w:color="auto"/>
        <w:right w:val="none" w:sz="0" w:space="0" w:color="auto"/>
      </w:divBdr>
    </w:div>
    <w:div w:id="1223755722">
      <w:bodyDiv w:val="1"/>
      <w:marLeft w:val="0"/>
      <w:marRight w:val="0"/>
      <w:marTop w:val="0"/>
      <w:marBottom w:val="0"/>
      <w:divBdr>
        <w:top w:val="none" w:sz="0" w:space="0" w:color="auto"/>
        <w:left w:val="none" w:sz="0" w:space="0" w:color="auto"/>
        <w:bottom w:val="none" w:sz="0" w:space="0" w:color="auto"/>
        <w:right w:val="none" w:sz="0" w:space="0" w:color="auto"/>
      </w:divBdr>
    </w:div>
    <w:div w:id="1229028992">
      <w:bodyDiv w:val="1"/>
      <w:marLeft w:val="0"/>
      <w:marRight w:val="0"/>
      <w:marTop w:val="0"/>
      <w:marBottom w:val="0"/>
      <w:divBdr>
        <w:top w:val="none" w:sz="0" w:space="0" w:color="auto"/>
        <w:left w:val="none" w:sz="0" w:space="0" w:color="auto"/>
        <w:bottom w:val="none" w:sz="0" w:space="0" w:color="auto"/>
        <w:right w:val="none" w:sz="0" w:space="0" w:color="auto"/>
      </w:divBdr>
    </w:div>
    <w:div w:id="1233464024">
      <w:bodyDiv w:val="1"/>
      <w:marLeft w:val="0"/>
      <w:marRight w:val="0"/>
      <w:marTop w:val="0"/>
      <w:marBottom w:val="0"/>
      <w:divBdr>
        <w:top w:val="none" w:sz="0" w:space="0" w:color="auto"/>
        <w:left w:val="none" w:sz="0" w:space="0" w:color="auto"/>
        <w:bottom w:val="none" w:sz="0" w:space="0" w:color="auto"/>
        <w:right w:val="none" w:sz="0" w:space="0" w:color="auto"/>
      </w:divBdr>
    </w:div>
    <w:div w:id="1234699093">
      <w:bodyDiv w:val="1"/>
      <w:marLeft w:val="0"/>
      <w:marRight w:val="0"/>
      <w:marTop w:val="0"/>
      <w:marBottom w:val="0"/>
      <w:divBdr>
        <w:top w:val="none" w:sz="0" w:space="0" w:color="auto"/>
        <w:left w:val="none" w:sz="0" w:space="0" w:color="auto"/>
        <w:bottom w:val="none" w:sz="0" w:space="0" w:color="auto"/>
        <w:right w:val="none" w:sz="0" w:space="0" w:color="auto"/>
      </w:divBdr>
    </w:div>
    <w:div w:id="1301766396">
      <w:bodyDiv w:val="1"/>
      <w:marLeft w:val="0"/>
      <w:marRight w:val="0"/>
      <w:marTop w:val="0"/>
      <w:marBottom w:val="0"/>
      <w:divBdr>
        <w:top w:val="none" w:sz="0" w:space="0" w:color="auto"/>
        <w:left w:val="none" w:sz="0" w:space="0" w:color="auto"/>
        <w:bottom w:val="none" w:sz="0" w:space="0" w:color="auto"/>
        <w:right w:val="none" w:sz="0" w:space="0" w:color="auto"/>
      </w:divBdr>
    </w:div>
    <w:div w:id="1316448995">
      <w:bodyDiv w:val="1"/>
      <w:marLeft w:val="0"/>
      <w:marRight w:val="0"/>
      <w:marTop w:val="0"/>
      <w:marBottom w:val="0"/>
      <w:divBdr>
        <w:top w:val="none" w:sz="0" w:space="0" w:color="auto"/>
        <w:left w:val="none" w:sz="0" w:space="0" w:color="auto"/>
        <w:bottom w:val="none" w:sz="0" w:space="0" w:color="auto"/>
        <w:right w:val="none" w:sz="0" w:space="0" w:color="auto"/>
      </w:divBdr>
    </w:div>
    <w:div w:id="1324091797">
      <w:bodyDiv w:val="1"/>
      <w:marLeft w:val="0"/>
      <w:marRight w:val="0"/>
      <w:marTop w:val="0"/>
      <w:marBottom w:val="0"/>
      <w:divBdr>
        <w:top w:val="none" w:sz="0" w:space="0" w:color="auto"/>
        <w:left w:val="none" w:sz="0" w:space="0" w:color="auto"/>
        <w:bottom w:val="none" w:sz="0" w:space="0" w:color="auto"/>
        <w:right w:val="none" w:sz="0" w:space="0" w:color="auto"/>
      </w:divBdr>
    </w:div>
    <w:div w:id="1354380848">
      <w:bodyDiv w:val="1"/>
      <w:marLeft w:val="0"/>
      <w:marRight w:val="0"/>
      <w:marTop w:val="0"/>
      <w:marBottom w:val="0"/>
      <w:divBdr>
        <w:top w:val="none" w:sz="0" w:space="0" w:color="auto"/>
        <w:left w:val="none" w:sz="0" w:space="0" w:color="auto"/>
        <w:bottom w:val="none" w:sz="0" w:space="0" w:color="auto"/>
        <w:right w:val="none" w:sz="0" w:space="0" w:color="auto"/>
      </w:divBdr>
    </w:div>
    <w:div w:id="1355301897">
      <w:bodyDiv w:val="1"/>
      <w:marLeft w:val="0"/>
      <w:marRight w:val="0"/>
      <w:marTop w:val="0"/>
      <w:marBottom w:val="0"/>
      <w:divBdr>
        <w:top w:val="none" w:sz="0" w:space="0" w:color="auto"/>
        <w:left w:val="none" w:sz="0" w:space="0" w:color="auto"/>
        <w:bottom w:val="none" w:sz="0" w:space="0" w:color="auto"/>
        <w:right w:val="none" w:sz="0" w:space="0" w:color="auto"/>
      </w:divBdr>
    </w:div>
    <w:div w:id="1359113586">
      <w:bodyDiv w:val="1"/>
      <w:marLeft w:val="0"/>
      <w:marRight w:val="0"/>
      <w:marTop w:val="0"/>
      <w:marBottom w:val="0"/>
      <w:divBdr>
        <w:top w:val="none" w:sz="0" w:space="0" w:color="auto"/>
        <w:left w:val="none" w:sz="0" w:space="0" w:color="auto"/>
        <w:bottom w:val="none" w:sz="0" w:space="0" w:color="auto"/>
        <w:right w:val="none" w:sz="0" w:space="0" w:color="auto"/>
      </w:divBdr>
    </w:div>
    <w:div w:id="1385330943">
      <w:bodyDiv w:val="1"/>
      <w:marLeft w:val="0"/>
      <w:marRight w:val="0"/>
      <w:marTop w:val="0"/>
      <w:marBottom w:val="0"/>
      <w:divBdr>
        <w:top w:val="none" w:sz="0" w:space="0" w:color="auto"/>
        <w:left w:val="none" w:sz="0" w:space="0" w:color="auto"/>
        <w:bottom w:val="none" w:sz="0" w:space="0" w:color="auto"/>
        <w:right w:val="none" w:sz="0" w:space="0" w:color="auto"/>
      </w:divBdr>
    </w:div>
    <w:div w:id="1385442683">
      <w:bodyDiv w:val="1"/>
      <w:marLeft w:val="0"/>
      <w:marRight w:val="0"/>
      <w:marTop w:val="0"/>
      <w:marBottom w:val="0"/>
      <w:divBdr>
        <w:top w:val="none" w:sz="0" w:space="0" w:color="auto"/>
        <w:left w:val="none" w:sz="0" w:space="0" w:color="auto"/>
        <w:bottom w:val="none" w:sz="0" w:space="0" w:color="auto"/>
        <w:right w:val="none" w:sz="0" w:space="0" w:color="auto"/>
      </w:divBdr>
    </w:div>
    <w:div w:id="1396858596">
      <w:bodyDiv w:val="1"/>
      <w:marLeft w:val="0"/>
      <w:marRight w:val="0"/>
      <w:marTop w:val="0"/>
      <w:marBottom w:val="0"/>
      <w:divBdr>
        <w:top w:val="none" w:sz="0" w:space="0" w:color="auto"/>
        <w:left w:val="none" w:sz="0" w:space="0" w:color="auto"/>
        <w:bottom w:val="none" w:sz="0" w:space="0" w:color="auto"/>
        <w:right w:val="none" w:sz="0" w:space="0" w:color="auto"/>
      </w:divBdr>
    </w:div>
    <w:div w:id="1415201650">
      <w:bodyDiv w:val="1"/>
      <w:marLeft w:val="0"/>
      <w:marRight w:val="0"/>
      <w:marTop w:val="0"/>
      <w:marBottom w:val="0"/>
      <w:divBdr>
        <w:top w:val="none" w:sz="0" w:space="0" w:color="auto"/>
        <w:left w:val="none" w:sz="0" w:space="0" w:color="auto"/>
        <w:bottom w:val="none" w:sz="0" w:space="0" w:color="auto"/>
        <w:right w:val="none" w:sz="0" w:space="0" w:color="auto"/>
      </w:divBdr>
    </w:div>
    <w:div w:id="1419406495">
      <w:bodyDiv w:val="1"/>
      <w:marLeft w:val="0"/>
      <w:marRight w:val="0"/>
      <w:marTop w:val="0"/>
      <w:marBottom w:val="0"/>
      <w:divBdr>
        <w:top w:val="none" w:sz="0" w:space="0" w:color="auto"/>
        <w:left w:val="none" w:sz="0" w:space="0" w:color="auto"/>
        <w:bottom w:val="none" w:sz="0" w:space="0" w:color="auto"/>
        <w:right w:val="none" w:sz="0" w:space="0" w:color="auto"/>
      </w:divBdr>
    </w:div>
    <w:div w:id="1427534934">
      <w:bodyDiv w:val="1"/>
      <w:marLeft w:val="0"/>
      <w:marRight w:val="0"/>
      <w:marTop w:val="0"/>
      <w:marBottom w:val="0"/>
      <w:divBdr>
        <w:top w:val="none" w:sz="0" w:space="0" w:color="auto"/>
        <w:left w:val="none" w:sz="0" w:space="0" w:color="auto"/>
        <w:bottom w:val="none" w:sz="0" w:space="0" w:color="auto"/>
        <w:right w:val="none" w:sz="0" w:space="0" w:color="auto"/>
      </w:divBdr>
    </w:div>
    <w:div w:id="1448619825">
      <w:bodyDiv w:val="1"/>
      <w:marLeft w:val="0"/>
      <w:marRight w:val="0"/>
      <w:marTop w:val="0"/>
      <w:marBottom w:val="0"/>
      <w:divBdr>
        <w:top w:val="none" w:sz="0" w:space="0" w:color="auto"/>
        <w:left w:val="none" w:sz="0" w:space="0" w:color="auto"/>
        <w:bottom w:val="none" w:sz="0" w:space="0" w:color="auto"/>
        <w:right w:val="none" w:sz="0" w:space="0" w:color="auto"/>
      </w:divBdr>
    </w:div>
    <w:div w:id="1467969668">
      <w:bodyDiv w:val="1"/>
      <w:marLeft w:val="0"/>
      <w:marRight w:val="0"/>
      <w:marTop w:val="0"/>
      <w:marBottom w:val="0"/>
      <w:divBdr>
        <w:top w:val="none" w:sz="0" w:space="0" w:color="auto"/>
        <w:left w:val="none" w:sz="0" w:space="0" w:color="auto"/>
        <w:bottom w:val="none" w:sz="0" w:space="0" w:color="auto"/>
        <w:right w:val="none" w:sz="0" w:space="0" w:color="auto"/>
      </w:divBdr>
    </w:div>
    <w:div w:id="1493527472">
      <w:bodyDiv w:val="1"/>
      <w:marLeft w:val="0"/>
      <w:marRight w:val="0"/>
      <w:marTop w:val="0"/>
      <w:marBottom w:val="0"/>
      <w:divBdr>
        <w:top w:val="none" w:sz="0" w:space="0" w:color="auto"/>
        <w:left w:val="none" w:sz="0" w:space="0" w:color="auto"/>
        <w:bottom w:val="none" w:sz="0" w:space="0" w:color="auto"/>
        <w:right w:val="none" w:sz="0" w:space="0" w:color="auto"/>
      </w:divBdr>
    </w:div>
    <w:div w:id="1494754335">
      <w:bodyDiv w:val="1"/>
      <w:marLeft w:val="0"/>
      <w:marRight w:val="0"/>
      <w:marTop w:val="0"/>
      <w:marBottom w:val="0"/>
      <w:divBdr>
        <w:top w:val="none" w:sz="0" w:space="0" w:color="auto"/>
        <w:left w:val="none" w:sz="0" w:space="0" w:color="auto"/>
        <w:bottom w:val="none" w:sz="0" w:space="0" w:color="auto"/>
        <w:right w:val="none" w:sz="0" w:space="0" w:color="auto"/>
      </w:divBdr>
    </w:div>
    <w:div w:id="1499419693">
      <w:bodyDiv w:val="1"/>
      <w:marLeft w:val="0"/>
      <w:marRight w:val="0"/>
      <w:marTop w:val="0"/>
      <w:marBottom w:val="0"/>
      <w:divBdr>
        <w:top w:val="none" w:sz="0" w:space="0" w:color="auto"/>
        <w:left w:val="none" w:sz="0" w:space="0" w:color="auto"/>
        <w:bottom w:val="none" w:sz="0" w:space="0" w:color="auto"/>
        <w:right w:val="none" w:sz="0" w:space="0" w:color="auto"/>
      </w:divBdr>
    </w:div>
    <w:div w:id="1508254576">
      <w:bodyDiv w:val="1"/>
      <w:marLeft w:val="0"/>
      <w:marRight w:val="0"/>
      <w:marTop w:val="0"/>
      <w:marBottom w:val="0"/>
      <w:divBdr>
        <w:top w:val="none" w:sz="0" w:space="0" w:color="auto"/>
        <w:left w:val="none" w:sz="0" w:space="0" w:color="auto"/>
        <w:bottom w:val="none" w:sz="0" w:space="0" w:color="auto"/>
        <w:right w:val="none" w:sz="0" w:space="0" w:color="auto"/>
      </w:divBdr>
    </w:div>
    <w:div w:id="1521310969">
      <w:bodyDiv w:val="1"/>
      <w:marLeft w:val="0"/>
      <w:marRight w:val="0"/>
      <w:marTop w:val="0"/>
      <w:marBottom w:val="0"/>
      <w:divBdr>
        <w:top w:val="none" w:sz="0" w:space="0" w:color="auto"/>
        <w:left w:val="none" w:sz="0" w:space="0" w:color="auto"/>
        <w:bottom w:val="none" w:sz="0" w:space="0" w:color="auto"/>
        <w:right w:val="none" w:sz="0" w:space="0" w:color="auto"/>
      </w:divBdr>
    </w:div>
    <w:div w:id="1523781891">
      <w:bodyDiv w:val="1"/>
      <w:marLeft w:val="0"/>
      <w:marRight w:val="0"/>
      <w:marTop w:val="0"/>
      <w:marBottom w:val="0"/>
      <w:divBdr>
        <w:top w:val="none" w:sz="0" w:space="0" w:color="auto"/>
        <w:left w:val="none" w:sz="0" w:space="0" w:color="auto"/>
        <w:bottom w:val="none" w:sz="0" w:space="0" w:color="auto"/>
        <w:right w:val="none" w:sz="0" w:space="0" w:color="auto"/>
      </w:divBdr>
    </w:div>
    <w:div w:id="1532842871">
      <w:bodyDiv w:val="1"/>
      <w:marLeft w:val="0"/>
      <w:marRight w:val="0"/>
      <w:marTop w:val="0"/>
      <w:marBottom w:val="0"/>
      <w:divBdr>
        <w:top w:val="none" w:sz="0" w:space="0" w:color="auto"/>
        <w:left w:val="none" w:sz="0" w:space="0" w:color="auto"/>
        <w:bottom w:val="none" w:sz="0" w:space="0" w:color="auto"/>
        <w:right w:val="none" w:sz="0" w:space="0" w:color="auto"/>
      </w:divBdr>
    </w:div>
    <w:div w:id="1541894558">
      <w:bodyDiv w:val="1"/>
      <w:marLeft w:val="0"/>
      <w:marRight w:val="0"/>
      <w:marTop w:val="0"/>
      <w:marBottom w:val="0"/>
      <w:divBdr>
        <w:top w:val="none" w:sz="0" w:space="0" w:color="auto"/>
        <w:left w:val="none" w:sz="0" w:space="0" w:color="auto"/>
        <w:bottom w:val="none" w:sz="0" w:space="0" w:color="auto"/>
        <w:right w:val="none" w:sz="0" w:space="0" w:color="auto"/>
      </w:divBdr>
    </w:div>
    <w:div w:id="1591699258">
      <w:bodyDiv w:val="1"/>
      <w:marLeft w:val="0"/>
      <w:marRight w:val="0"/>
      <w:marTop w:val="0"/>
      <w:marBottom w:val="0"/>
      <w:divBdr>
        <w:top w:val="none" w:sz="0" w:space="0" w:color="auto"/>
        <w:left w:val="none" w:sz="0" w:space="0" w:color="auto"/>
        <w:bottom w:val="none" w:sz="0" w:space="0" w:color="auto"/>
        <w:right w:val="none" w:sz="0" w:space="0" w:color="auto"/>
      </w:divBdr>
    </w:div>
    <w:div w:id="1600672606">
      <w:bodyDiv w:val="1"/>
      <w:marLeft w:val="0"/>
      <w:marRight w:val="0"/>
      <w:marTop w:val="0"/>
      <w:marBottom w:val="0"/>
      <w:divBdr>
        <w:top w:val="none" w:sz="0" w:space="0" w:color="auto"/>
        <w:left w:val="none" w:sz="0" w:space="0" w:color="auto"/>
        <w:bottom w:val="none" w:sz="0" w:space="0" w:color="auto"/>
        <w:right w:val="none" w:sz="0" w:space="0" w:color="auto"/>
      </w:divBdr>
    </w:div>
    <w:div w:id="1611890329">
      <w:bodyDiv w:val="1"/>
      <w:marLeft w:val="0"/>
      <w:marRight w:val="0"/>
      <w:marTop w:val="0"/>
      <w:marBottom w:val="0"/>
      <w:divBdr>
        <w:top w:val="none" w:sz="0" w:space="0" w:color="auto"/>
        <w:left w:val="none" w:sz="0" w:space="0" w:color="auto"/>
        <w:bottom w:val="none" w:sz="0" w:space="0" w:color="auto"/>
        <w:right w:val="none" w:sz="0" w:space="0" w:color="auto"/>
      </w:divBdr>
    </w:div>
    <w:div w:id="1623613992">
      <w:bodyDiv w:val="1"/>
      <w:marLeft w:val="0"/>
      <w:marRight w:val="0"/>
      <w:marTop w:val="0"/>
      <w:marBottom w:val="0"/>
      <w:divBdr>
        <w:top w:val="none" w:sz="0" w:space="0" w:color="auto"/>
        <w:left w:val="none" w:sz="0" w:space="0" w:color="auto"/>
        <w:bottom w:val="none" w:sz="0" w:space="0" w:color="auto"/>
        <w:right w:val="none" w:sz="0" w:space="0" w:color="auto"/>
      </w:divBdr>
    </w:div>
    <w:div w:id="1632246503">
      <w:bodyDiv w:val="1"/>
      <w:marLeft w:val="0"/>
      <w:marRight w:val="0"/>
      <w:marTop w:val="0"/>
      <w:marBottom w:val="0"/>
      <w:divBdr>
        <w:top w:val="none" w:sz="0" w:space="0" w:color="auto"/>
        <w:left w:val="none" w:sz="0" w:space="0" w:color="auto"/>
        <w:bottom w:val="none" w:sz="0" w:space="0" w:color="auto"/>
        <w:right w:val="none" w:sz="0" w:space="0" w:color="auto"/>
      </w:divBdr>
    </w:div>
    <w:div w:id="1649237669">
      <w:bodyDiv w:val="1"/>
      <w:marLeft w:val="0"/>
      <w:marRight w:val="0"/>
      <w:marTop w:val="0"/>
      <w:marBottom w:val="0"/>
      <w:divBdr>
        <w:top w:val="none" w:sz="0" w:space="0" w:color="auto"/>
        <w:left w:val="none" w:sz="0" w:space="0" w:color="auto"/>
        <w:bottom w:val="none" w:sz="0" w:space="0" w:color="auto"/>
        <w:right w:val="none" w:sz="0" w:space="0" w:color="auto"/>
      </w:divBdr>
    </w:div>
    <w:div w:id="1657951612">
      <w:bodyDiv w:val="1"/>
      <w:marLeft w:val="0"/>
      <w:marRight w:val="0"/>
      <w:marTop w:val="0"/>
      <w:marBottom w:val="0"/>
      <w:divBdr>
        <w:top w:val="none" w:sz="0" w:space="0" w:color="auto"/>
        <w:left w:val="none" w:sz="0" w:space="0" w:color="auto"/>
        <w:bottom w:val="none" w:sz="0" w:space="0" w:color="auto"/>
        <w:right w:val="none" w:sz="0" w:space="0" w:color="auto"/>
      </w:divBdr>
      <w:divsChild>
        <w:div w:id="220752512">
          <w:marLeft w:val="547"/>
          <w:marRight w:val="0"/>
          <w:marTop w:val="58"/>
          <w:marBottom w:val="0"/>
          <w:divBdr>
            <w:top w:val="none" w:sz="0" w:space="0" w:color="auto"/>
            <w:left w:val="none" w:sz="0" w:space="0" w:color="auto"/>
            <w:bottom w:val="none" w:sz="0" w:space="0" w:color="auto"/>
            <w:right w:val="none" w:sz="0" w:space="0" w:color="auto"/>
          </w:divBdr>
        </w:div>
        <w:div w:id="353002704">
          <w:marLeft w:val="547"/>
          <w:marRight w:val="0"/>
          <w:marTop w:val="58"/>
          <w:marBottom w:val="0"/>
          <w:divBdr>
            <w:top w:val="none" w:sz="0" w:space="0" w:color="auto"/>
            <w:left w:val="none" w:sz="0" w:space="0" w:color="auto"/>
            <w:bottom w:val="none" w:sz="0" w:space="0" w:color="auto"/>
            <w:right w:val="none" w:sz="0" w:space="0" w:color="auto"/>
          </w:divBdr>
        </w:div>
        <w:div w:id="660357176">
          <w:marLeft w:val="1166"/>
          <w:marRight w:val="0"/>
          <w:marTop w:val="58"/>
          <w:marBottom w:val="0"/>
          <w:divBdr>
            <w:top w:val="none" w:sz="0" w:space="0" w:color="auto"/>
            <w:left w:val="none" w:sz="0" w:space="0" w:color="auto"/>
            <w:bottom w:val="none" w:sz="0" w:space="0" w:color="auto"/>
            <w:right w:val="none" w:sz="0" w:space="0" w:color="auto"/>
          </w:divBdr>
        </w:div>
        <w:div w:id="1322151157">
          <w:marLeft w:val="1166"/>
          <w:marRight w:val="0"/>
          <w:marTop w:val="58"/>
          <w:marBottom w:val="0"/>
          <w:divBdr>
            <w:top w:val="none" w:sz="0" w:space="0" w:color="auto"/>
            <w:left w:val="none" w:sz="0" w:space="0" w:color="auto"/>
            <w:bottom w:val="none" w:sz="0" w:space="0" w:color="auto"/>
            <w:right w:val="none" w:sz="0" w:space="0" w:color="auto"/>
          </w:divBdr>
        </w:div>
        <w:div w:id="1354262975">
          <w:marLeft w:val="1166"/>
          <w:marRight w:val="0"/>
          <w:marTop w:val="58"/>
          <w:marBottom w:val="0"/>
          <w:divBdr>
            <w:top w:val="none" w:sz="0" w:space="0" w:color="auto"/>
            <w:left w:val="none" w:sz="0" w:space="0" w:color="auto"/>
            <w:bottom w:val="none" w:sz="0" w:space="0" w:color="auto"/>
            <w:right w:val="none" w:sz="0" w:space="0" w:color="auto"/>
          </w:divBdr>
        </w:div>
        <w:div w:id="1634754560">
          <w:marLeft w:val="547"/>
          <w:marRight w:val="0"/>
          <w:marTop w:val="58"/>
          <w:marBottom w:val="0"/>
          <w:divBdr>
            <w:top w:val="none" w:sz="0" w:space="0" w:color="auto"/>
            <w:left w:val="none" w:sz="0" w:space="0" w:color="auto"/>
            <w:bottom w:val="none" w:sz="0" w:space="0" w:color="auto"/>
            <w:right w:val="none" w:sz="0" w:space="0" w:color="auto"/>
          </w:divBdr>
        </w:div>
        <w:div w:id="1644387933">
          <w:marLeft w:val="1166"/>
          <w:marRight w:val="0"/>
          <w:marTop w:val="58"/>
          <w:marBottom w:val="0"/>
          <w:divBdr>
            <w:top w:val="none" w:sz="0" w:space="0" w:color="auto"/>
            <w:left w:val="none" w:sz="0" w:space="0" w:color="auto"/>
            <w:bottom w:val="none" w:sz="0" w:space="0" w:color="auto"/>
            <w:right w:val="none" w:sz="0" w:space="0" w:color="auto"/>
          </w:divBdr>
        </w:div>
        <w:div w:id="1661928777">
          <w:marLeft w:val="547"/>
          <w:marRight w:val="0"/>
          <w:marTop w:val="53"/>
          <w:marBottom w:val="0"/>
          <w:divBdr>
            <w:top w:val="none" w:sz="0" w:space="0" w:color="auto"/>
            <w:left w:val="none" w:sz="0" w:space="0" w:color="auto"/>
            <w:bottom w:val="none" w:sz="0" w:space="0" w:color="auto"/>
            <w:right w:val="none" w:sz="0" w:space="0" w:color="auto"/>
          </w:divBdr>
        </w:div>
      </w:divsChild>
    </w:div>
    <w:div w:id="1694725251">
      <w:bodyDiv w:val="1"/>
      <w:marLeft w:val="0"/>
      <w:marRight w:val="0"/>
      <w:marTop w:val="0"/>
      <w:marBottom w:val="0"/>
      <w:divBdr>
        <w:top w:val="none" w:sz="0" w:space="0" w:color="auto"/>
        <w:left w:val="none" w:sz="0" w:space="0" w:color="auto"/>
        <w:bottom w:val="none" w:sz="0" w:space="0" w:color="auto"/>
        <w:right w:val="none" w:sz="0" w:space="0" w:color="auto"/>
      </w:divBdr>
    </w:div>
    <w:div w:id="1704745559">
      <w:bodyDiv w:val="1"/>
      <w:marLeft w:val="0"/>
      <w:marRight w:val="0"/>
      <w:marTop w:val="0"/>
      <w:marBottom w:val="0"/>
      <w:divBdr>
        <w:top w:val="none" w:sz="0" w:space="0" w:color="auto"/>
        <w:left w:val="none" w:sz="0" w:space="0" w:color="auto"/>
        <w:bottom w:val="none" w:sz="0" w:space="0" w:color="auto"/>
        <w:right w:val="none" w:sz="0" w:space="0" w:color="auto"/>
      </w:divBdr>
    </w:div>
    <w:div w:id="1728992756">
      <w:bodyDiv w:val="1"/>
      <w:marLeft w:val="0"/>
      <w:marRight w:val="0"/>
      <w:marTop w:val="0"/>
      <w:marBottom w:val="0"/>
      <w:divBdr>
        <w:top w:val="none" w:sz="0" w:space="0" w:color="auto"/>
        <w:left w:val="none" w:sz="0" w:space="0" w:color="auto"/>
        <w:bottom w:val="none" w:sz="0" w:space="0" w:color="auto"/>
        <w:right w:val="none" w:sz="0" w:space="0" w:color="auto"/>
      </w:divBdr>
    </w:div>
    <w:div w:id="1745641605">
      <w:bodyDiv w:val="1"/>
      <w:marLeft w:val="0"/>
      <w:marRight w:val="0"/>
      <w:marTop w:val="0"/>
      <w:marBottom w:val="0"/>
      <w:divBdr>
        <w:top w:val="none" w:sz="0" w:space="0" w:color="auto"/>
        <w:left w:val="none" w:sz="0" w:space="0" w:color="auto"/>
        <w:bottom w:val="none" w:sz="0" w:space="0" w:color="auto"/>
        <w:right w:val="none" w:sz="0" w:space="0" w:color="auto"/>
      </w:divBdr>
    </w:div>
    <w:div w:id="1746368999">
      <w:bodyDiv w:val="1"/>
      <w:marLeft w:val="0"/>
      <w:marRight w:val="0"/>
      <w:marTop w:val="0"/>
      <w:marBottom w:val="0"/>
      <w:divBdr>
        <w:top w:val="none" w:sz="0" w:space="0" w:color="auto"/>
        <w:left w:val="none" w:sz="0" w:space="0" w:color="auto"/>
        <w:bottom w:val="none" w:sz="0" w:space="0" w:color="auto"/>
        <w:right w:val="none" w:sz="0" w:space="0" w:color="auto"/>
      </w:divBdr>
    </w:div>
    <w:div w:id="1765493426">
      <w:bodyDiv w:val="1"/>
      <w:marLeft w:val="0"/>
      <w:marRight w:val="0"/>
      <w:marTop w:val="0"/>
      <w:marBottom w:val="0"/>
      <w:divBdr>
        <w:top w:val="none" w:sz="0" w:space="0" w:color="auto"/>
        <w:left w:val="none" w:sz="0" w:space="0" w:color="auto"/>
        <w:bottom w:val="none" w:sz="0" w:space="0" w:color="auto"/>
        <w:right w:val="none" w:sz="0" w:space="0" w:color="auto"/>
      </w:divBdr>
    </w:div>
    <w:div w:id="1770739649">
      <w:bodyDiv w:val="1"/>
      <w:marLeft w:val="0"/>
      <w:marRight w:val="0"/>
      <w:marTop w:val="0"/>
      <w:marBottom w:val="0"/>
      <w:divBdr>
        <w:top w:val="none" w:sz="0" w:space="0" w:color="auto"/>
        <w:left w:val="none" w:sz="0" w:space="0" w:color="auto"/>
        <w:bottom w:val="none" w:sz="0" w:space="0" w:color="auto"/>
        <w:right w:val="none" w:sz="0" w:space="0" w:color="auto"/>
      </w:divBdr>
    </w:div>
    <w:div w:id="1793548807">
      <w:bodyDiv w:val="1"/>
      <w:marLeft w:val="0"/>
      <w:marRight w:val="0"/>
      <w:marTop w:val="0"/>
      <w:marBottom w:val="0"/>
      <w:divBdr>
        <w:top w:val="none" w:sz="0" w:space="0" w:color="auto"/>
        <w:left w:val="none" w:sz="0" w:space="0" w:color="auto"/>
        <w:bottom w:val="none" w:sz="0" w:space="0" w:color="auto"/>
        <w:right w:val="none" w:sz="0" w:space="0" w:color="auto"/>
      </w:divBdr>
    </w:div>
    <w:div w:id="1817717016">
      <w:bodyDiv w:val="1"/>
      <w:marLeft w:val="0"/>
      <w:marRight w:val="0"/>
      <w:marTop w:val="0"/>
      <w:marBottom w:val="0"/>
      <w:divBdr>
        <w:top w:val="none" w:sz="0" w:space="0" w:color="auto"/>
        <w:left w:val="none" w:sz="0" w:space="0" w:color="auto"/>
        <w:bottom w:val="none" w:sz="0" w:space="0" w:color="auto"/>
        <w:right w:val="none" w:sz="0" w:space="0" w:color="auto"/>
      </w:divBdr>
    </w:div>
    <w:div w:id="1824814181">
      <w:bodyDiv w:val="1"/>
      <w:marLeft w:val="0"/>
      <w:marRight w:val="0"/>
      <w:marTop w:val="0"/>
      <w:marBottom w:val="0"/>
      <w:divBdr>
        <w:top w:val="none" w:sz="0" w:space="0" w:color="auto"/>
        <w:left w:val="none" w:sz="0" w:space="0" w:color="auto"/>
        <w:bottom w:val="none" w:sz="0" w:space="0" w:color="auto"/>
        <w:right w:val="none" w:sz="0" w:space="0" w:color="auto"/>
      </w:divBdr>
    </w:div>
    <w:div w:id="1862545493">
      <w:bodyDiv w:val="1"/>
      <w:marLeft w:val="0"/>
      <w:marRight w:val="0"/>
      <w:marTop w:val="0"/>
      <w:marBottom w:val="0"/>
      <w:divBdr>
        <w:top w:val="none" w:sz="0" w:space="0" w:color="auto"/>
        <w:left w:val="none" w:sz="0" w:space="0" w:color="auto"/>
        <w:bottom w:val="none" w:sz="0" w:space="0" w:color="auto"/>
        <w:right w:val="none" w:sz="0" w:space="0" w:color="auto"/>
      </w:divBdr>
    </w:div>
    <w:div w:id="1867060912">
      <w:bodyDiv w:val="1"/>
      <w:marLeft w:val="0"/>
      <w:marRight w:val="0"/>
      <w:marTop w:val="0"/>
      <w:marBottom w:val="0"/>
      <w:divBdr>
        <w:top w:val="none" w:sz="0" w:space="0" w:color="auto"/>
        <w:left w:val="none" w:sz="0" w:space="0" w:color="auto"/>
        <w:bottom w:val="none" w:sz="0" w:space="0" w:color="auto"/>
        <w:right w:val="none" w:sz="0" w:space="0" w:color="auto"/>
      </w:divBdr>
      <w:divsChild>
        <w:div w:id="210504828">
          <w:marLeft w:val="0"/>
          <w:marRight w:val="0"/>
          <w:marTop w:val="0"/>
          <w:marBottom w:val="0"/>
          <w:divBdr>
            <w:top w:val="none" w:sz="0" w:space="0" w:color="auto"/>
            <w:left w:val="none" w:sz="0" w:space="0" w:color="auto"/>
            <w:bottom w:val="none" w:sz="0" w:space="0" w:color="auto"/>
            <w:right w:val="none" w:sz="0" w:space="0" w:color="auto"/>
          </w:divBdr>
          <w:divsChild>
            <w:div w:id="384838276">
              <w:marLeft w:val="0"/>
              <w:marRight w:val="0"/>
              <w:marTop w:val="0"/>
              <w:marBottom w:val="0"/>
              <w:divBdr>
                <w:top w:val="none" w:sz="0" w:space="0" w:color="auto"/>
                <w:left w:val="none" w:sz="0" w:space="0" w:color="auto"/>
                <w:bottom w:val="none" w:sz="0" w:space="0" w:color="auto"/>
                <w:right w:val="none" w:sz="0" w:space="0" w:color="auto"/>
              </w:divBdr>
              <w:divsChild>
                <w:div w:id="1718510766">
                  <w:marLeft w:val="0"/>
                  <w:marRight w:val="0"/>
                  <w:marTop w:val="0"/>
                  <w:marBottom w:val="0"/>
                  <w:divBdr>
                    <w:top w:val="none" w:sz="0" w:space="0" w:color="auto"/>
                    <w:left w:val="none" w:sz="0" w:space="0" w:color="auto"/>
                    <w:bottom w:val="none" w:sz="0" w:space="0" w:color="auto"/>
                    <w:right w:val="none" w:sz="0" w:space="0" w:color="auto"/>
                  </w:divBdr>
                  <w:divsChild>
                    <w:div w:id="136278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586850">
      <w:bodyDiv w:val="1"/>
      <w:marLeft w:val="0"/>
      <w:marRight w:val="0"/>
      <w:marTop w:val="0"/>
      <w:marBottom w:val="0"/>
      <w:divBdr>
        <w:top w:val="none" w:sz="0" w:space="0" w:color="auto"/>
        <w:left w:val="none" w:sz="0" w:space="0" w:color="auto"/>
        <w:bottom w:val="none" w:sz="0" w:space="0" w:color="auto"/>
        <w:right w:val="none" w:sz="0" w:space="0" w:color="auto"/>
      </w:divBdr>
    </w:div>
    <w:div w:id="1961647708">
      <w:bodyDiv w:val="1"/>
      <w:marLeft w:val="0"/>
      <w:marRight w:val="0"/>
      <w:marTop w:val="0"/>
      <w:marBottom w:val="0"/>
      <w:divBdr>
        <w:top w:val="none" w:sz="0" w:space="0" w:color="auto"/>
        <w:left w:val="none" w:sz="0" w:space="0" w:color="auto"/>
        <w:bottom w:val="none" w:sz="0" w:space="0" w:color="auto"/>
        <w:right w:val="none" w:sz="0" w:space="0" w:color="auto"/>
      </w:divBdr>
    </w:div>
    <w:div w:id="1988432331">
      <w:bodyDiv w:val="1"/>
      <w:marLeft w:val="0"/>
      <w:marRight w:val="0"/>
      <w:marTop w:val="0"/>
      <w:marBottom w:val="0"/>
      <w:divBdr>
        <w:top w:val="none" w:sz="0" w:space="0" w:color="auto"/>
        <w:left w:val="none" w:sz="0" w:space="0" w:color="auto"/>
        <w:bottom w:val="none" w:sz="0" w:space="0" w:color="auto"/>
        <w:right w:val="none" w:sz="0" w:space="0" w:color="auto"/>
      </w:divBdr>
    </w:div>
    <w:div w:id="1995908140">
      <w:bodyDiv w:val="1"/>
      <w:marLeft w:val="0"/>
      <w:marRight w:val="0"/>
      <w:marTop w:val="0"/>
      <w:marBottom w:val="0"/>
      <w:divBdr>
        <w:top w:val="none" w:sz="0" w:space="0" w:color="auto"/>
        <w:left w:val="none" w:sz="0" w:space="0" w:color="auto"/>
        <w:bottom w:val="none" w:sz="0" w:space="0" w:color="auto"/>
        <w:right w:val="none" w:sz="0" w:space="0" w:color="auto"/>
      </w:divBdr>
    </w:div>
    <w:div w:id="2031179467">
      <w:bodyDiv w:val="1"/>
      <w:marLeft w:val="0"/>
      <w:marRight w:val="0"/>
      <w:marTop w:val="0"/>
      <w:marBottom w:val="0"/>
      <w:divBdr>
        <w:top w:val="none" w:sz="0" w:space="0" w:color="auto"/>
        <w:left w:val="none" w:sz="0" w:space="0" w:color="auto"/>
        <w:bottom w:val="none" w:sz="0" w:space="0" w:color="auto"/>
        <w:right w:val="none" w:sz="0" w:space="0" w:color="auto"/>
      </w:divBdr>
    </w:div>
    <w:div w:id="2056587488">
      <w:bodyDiv w:val="1"/>
      <w:marLeft w:val="0"/>
      <w:marRight w:val="0"/>
      <w:marTop w:val="0"/>
      <w:marBottom w:val="0"/>
      <w:divBdr>
        <w:top w:val="none" w:sz="0" w:space="0" w:color="auto"/>
        <w:left w:val="none" w:sz="0" w:space="0" w:color="auto"/>
        <w:bottom w:val="none" w:sz="0" w:space="0" w:color="auto"/>
        <w:right w:val="none" w:sz="0" w:space="0" w:color="auto"/>
      </w:divBdr>
      <w:divsChild>
        <w:div w:id="1455176124">
          <w:marLeft w:val="0"/>
          <w:marRight w:val="0"/>
          <w:marTop w:val="0"/>
          <w:marBottom w:val="0"/>
          <w:divBdr>
            <w:top w:val="none" w:sz="0" w:space="0" w:color="auto"/>
            <w:left w:val="none" w:sz="0" w:space="0" w:color="auto"/>
            <w:bottom w:val="none" w:sz="0" w:space="0" w:color="auto"/>
            <w:right w:val="none" w:sz="0" w:space="0" w:color="auto"/>
          </w:divBdr>
          <w:divsChild>
            <w:div w:id="1243180188">
              <w:marLeft w:val="0"/>
              <w:marRight w:val="0"/>
              <w:marTop w:val="0"/>
              <w:marBottom w:val="0"/>
              <w:divBdr>
                <w:top w:val="none" w:sz="0" w:space="0" w:color="auto"/>
                <w:left w:val="none" w:sz="0" w:space="0" w:color="auto"/>
                <w:bottom w:val="none" w:sz="0" w:space="0" w:color="auto"/>
                <w:right w:val="none" w:sz="0" w:space="0" w:color="auto"/>
              </w:divBdr>
              <w:divsChild>
                <w:div w:id="1564632974">
                  <w:marLeft w:val="0"/>
                  <w:marRight w:val="0"/>
                  <w:marTop w:val="0"/>
                  <w:marBottom w:val="0"/>
                  <w:divBdr>
                    <w:top w:val="none" w:sz="0" w:space="0" w:color="auto"/>
                    <w:left w:val="none" w:sz="0" w:space="0" w:color="auto"/>
                    <w:bottom w:val="none" w:sz="0" w:space="0" w:color="auto"/>
                    <w:right w:val="none" w:sz="0" w:space="0" w:color="auto"/>
                  </w:divBdr>
                  <w:divsChild>
                    <w:div w:id="965699357">
                      <w:marLeft w:val="0"/>
                      <w:marRight w:val="0"/>
                      <w:marTop w:val="0"/>
                      <w:marBottom w:val="0"/>
                      <w:divBdr>
                        <w:top w:val="none" w:sz="0" w:space="0" w:color="auto"/>
                        <w:left w:val="none" w:sz="0" w:space="0" w:color="auto"/>
                        <w:bottom w:val="none" w:sz="0" w:space="0" w:color="auto"/>
                        <w:right w:val="none" w:sz="0" w:space="0" w:color="auto"/>
                      </w:divBdr>
                      <w:divsChild>
                        <w:div w:id="1483042989">
                          <w:marLeft w:val="0"/>
                          <w:marRight w:val="0"/>
                          <w:marTop w:val="0"/>
                          <w:marBottom w:val="0"/>
                          <w:divBdr>
                            <w:top w:val="none" w:sz="0" w:space="0" w:color="auto"/>
                            <w:left w:val="none" w:sz="0" w:space="0" w:color="auto"/>
                            <w:bottom w:val="none" w:sz="0" w:space="0" w:color="auto"/>
                            <w:right w:val="none" w:sz="0" w:space="0" w:color="auto"/>
                          </w:divBdr>
                          <w:divsChild>
                            <w:div w:id="725833006">
                              <w:marLeft w:val="0"/>
                              <w:marRight w:val="0"/>
                              <w:marTop w:val="0"/>
                              <w:marBottom w:val="0"/>
                              <w:divBdr>
                                <w:top w:val="none" w:sz="0" w:space="0" w:color="auto"/>
                                <w:left w:val="none" w:sz="0" w:space="0" w:color="auto"/>
                                <w:bottom w:val="none" w:sz="0" w:space="0" w:color="auto"/>
                                <w:right w:val="none" w:sz="0" w:space="0" w:color="auto"/>
                              </w:divBdr>
                              <w:divsChild>
                                <w:div w:id="2038236388">
                                  <w:marLeft w:val="0"/>
                                  <w:marRight w:val="0"/>
                                  <w:marTop w:val="0"/>
                                  <w:marBottom w:val="0"/>
                                  <w:divBdr>
                                    <w:top w:val="none" w:sz="0" w:space="0" w:color="auto"/>
                                    <w:left w:val="none" w:sz="0" w:space="0" w:color="auto"/>
                                    <w:bottom w:val="none" w:sz="0" w:space="0" w:color="auto"/>
                                    <w:right w:val="none" w:sz="0" w:space="0" w:color="auto"/>
                                  </w:divBdr>
                                  <w:divsChild>
                                    <w:div w:id="631864702">
                                      <w:marLeft w:val="0"/>
                                      <w:marRight w:val="0"/>
                                      <w:marTop w:val="0"/>
                                      <w:marBottom w:val="0"/>
                                      <w:divBdr>
                                        <w:top w:val="none" w:sz="0" w:space="0" w:color="auto"/>
                                        <w:left w:val="none" w:sz="0" w:space="0" w:color="auto"/>
                                        <w:bottom w:val="none" w:sz="0" w:space="0" w:color="auto"/>
                                        <w:right w:val="none" w:sz="0" w:space="0" w:color="auto"/>
                                      </w:divBdr>
                                      <w:divsChild>
                                        <w:div w:id="804737741">
                                          <w:marLeft w:val="0"/>
                                          <w:marRight w:val="0"/>
                                          <w:marTop w:val="0"/>
                                          <w:marBottom w:val="0"/>
                                          <w:divBdr>
                                            <w:top w:val="none" w:sz="0" w:space="0" w:color="auto"/>
                                            <w:left w:val="none" w:sz="0" w:space="0" w:color="auto"/>
                                            <w:bottom w:val="none" w:sz="0" w:space="0" w:color="auto"/>
                                            <w:right w:val="none" w:sz="0" w:space="0" w:color="auto"/>
                                          </w:divBdr>
                                          <w:divsChild>
                                            <w:div w:id="1295788383">
                                              <w:marLeft w:val="0"/>
                                              <w:marRight w:val="0"/>
                                              <w:marTop w:val="0"/>
                                              <w:marBottom w:val="0"/>
                                              <w:divBdr>
                                                <w:top w:val="none" w:sz="0" w:space="0" w:color="auto"/>
                                                <w:left w:val="none" w:sz="0" w:space="0" w:color="auto"/>
                                                <w:bottom w:val="none" w:sz="0" w:space="0" w:color="auto"/>
                                                <w:right w:val="none" w:sz="0" w:space="0" w:color="auto"/>
                                              </w:divBdr>
                                              <w:divsChild>
                                                <w:div w:id="1629431639">
                                                  <w:marLeft w:val="0"/>
                                                  <w:marRight w:val="0"/>
                                                  <w:marTop w:val="0"/>
                                                  <w:marBottom w:val="0"/>
                                                  <w:divBdr>
                                                    <w:top w:val="none" w:sz="0" w:space="0" w:color="auto"/>
                                                    <w:left w:val="none" w:sz="0" w:space="0" w:color="auto"/>
                                                    <w:bottom w:val="none" w:sz="0" w:space="0" w:color="auto"/>
                                                    <w:right w:val="none" w:sz="0" w:space="0" w:color="auto"/>
                                                  </w:divBdr>
                                                  <w:divsChild>
                                                    <w:div w:id="994838351">
                                                      <w:marLeft w:val="0"/>
                                                      <w:marRight w:val="0"/>
                                                      <w:marTop w:val="0"/>
                                                      <w:marBottom w:val="0"/>
                                                      <w:divBdr>
                                                        <w:top w:val="single" w:sz="6" w:space="0" w:color="ABABAB"/>
                                                        <w:left w:val="single" w:sz="6" w:space="0" w:color="ABABAB"/>
                                                        <w:bottom w:val="none" w:sz="0" w:space="0" w:color="auto"/>
                                                        <w:right w:val="single" w:sz="6" w:space="0" w:color="ABABAB"/>
                                                      </w:divBdr>
                                                      <w:divsChild>
                                                        <w:div w:id="1982926243">
                                                          <w:marLeft w:val="0"/>
                                                          <w:marRight w:val="0"/>
                                                          <w:marTop w:val="0"/>
                                                          <w:marBottom w:val="0"/>
                                                          <w:divBdr>
                                                            <w:top w:val="none" w:sz="0" w:space="0" w:color="auto"/>
                                                            <w:left w:val="none" w:sz="0" w:space="0" w:color="auto"/>
                                                            <w:bottom w:val="none" w:sz="0" w:space="0" w:color="auto"/>
                                                            <w:right w:val="none" w:sz="0" w:space="0" w:color="auto"/>
                                                          </w:divBdr>
                                                          <w:divsChild>
                                                            <w:div w:id="1324629716">
                                                              <w:marLeft w:val="0"/>
                                                              <w:marRight w:val="0"/>
                                                              <w:marTop w:val="0"/>
                                                              <w:marBottom w:val="0"/>
                                                              <w:divBdr>
                                                                <w:top w:val="none" w:sz="0" w:space="0" w:color="auto"/>
                                                                <w:left w:val="none" w:sz="0" w:space="0" w:color="auto"/>
                                                                <w:bottom w:val="none" w:sz="0" w:space="0" w:color="auto"/>
                                                                <w:right w:val="none" w:sz="0" w:space="0" w:color="auto"/>
                                                              </w:divBdr>
                                                              <w:divsChild>
                                                                <w:div w:id="769545834">
                                                                  <w:marLeft w:val="0"/>
                                                                  <w:marRight w:val="0"/>
                                                                  <w:marTop w:val="0"/>
                                                                  <w:marBottom w:val="0"/>
                                                                  <w:divBdr>
                                                                    <w:top w:val="none" w:sz="0" w:space="0" w:color="auto"/>
                                                                    <w:left w:val="none" w:sz="0" w:space="0" w:color="auto"/>
                                                                    <w:bottom w:val="none" w:sz="0" w:space="0" w:color="auto"/>
                                                                    <w:right w:val="none" w:sz="0" w:space="0" w:color="auto"/>
                                                                  </w:divBdr>
                                                                  <w:divsChild>
                                                                    <w:div w:id="1675306702">
                                                                      <w:marLeft w:val="0"/>
                                                                      <w:marRight w:val="0"/>
                                                                      <w:marTop w:val="0"/>
                                                                      <w:marBottom w:val="0"/>
                                                                      <w:divBdr>
                                                                        <w:top w:val="none" w:sz="0" w:space="0" w:color="auto"/>
                                                                        <w:left w:val="none" w:sz="0" w:space="0" w:color="auto"/>
                                                                        <w:bottom w:val="none" w:sz="0" w:space="0" w:color="auto"/>
                                                                        <w:right w:val="none" w:sz="0" w:space="0" w:color="auto"/>
                                                                      </w:divBdr>
                                                                      <w:divsChild>
                                                                        <w:div w:id="27142002">
                                                                          <w:marLeft w:val="-75"/>
                                                                          <w:marRight w:val="0"/>
                                                                          <w:marTop w:val="30"/>
                                                                          <w:marBottom w:val="30"/>
                                                                          <w:divBdr>
                                                                            <w:top w:val="none" w:sz="0" w:space="0" w:color="auto"/>
                                                                            <w:left w:val="none" w:sz="0" w:space="0" w:color="auto"/>
                                                                            <w:bottom w:val="none" w:sz="0" w:space="0" w:color="auto"/>
                                                                            <w:right w:val="none" w:sz="0" w:space="0" w:color="auto"/>
                                                                          </w:divBdr>
                                                                          <w:divsChild>
                                                                            <w:div w:id="1284581206">
                                                                              <w:marLeft w:val="0"/>
                                                                              <w:marRight w:val="0"/>
                                                                              <w:marTop w:val="0"/>
                                                                              <w:marBottom w:val="0"/>
                                                                              <w:divBdr>
                                                                                <w:top w:val="none" w:sz="0" w:space="0" w:color="auto"/>
                                                                                <w:left w:val="none" w:sz="0" w:space="0" w:color="auto"/>
                                                                                <w:bottom w:val="none" w:sz="0" w:space="0" w:color="auto"/>
                                                                                <w:right w:val="none" w:sz="0" w:space="0" w:color="auto"/>
                                                                              </w:divBdr>
                                                                              <w:divsChild>
                                                                                <w:div w:id="263683943">
                                                                                  <w:marLeft w:val="0"/>
                                                                                  <w:marRight w:val="0"/>
                                                                                  <w:marTop w:val="0"/>
                                                                                  <w:marBottom w:val="0"/>
                                                                                  <w:divBdr>
                                                                                    <w:top w:val="none" w:sz="0" w:space="0" w:color="auto"/>
                                                                                    <w:left w:val="none" w:sz="0" w:space="0" w:color="auto"/>
                                                                                    <w:bottom w:val="none" w:sz="0" w:space="0" w:color="auto"/>
                                                                                    <w:right w:val="none" w:sz="0" w:space="0" w:color="auto"/>
                                                                                  </w:divBdr>
                                                                                  <w:divsChild>
                                                                                    <w:div w:id="169570182">
                                                                                      <w:marLeft w:val="0"/>
                                                                                      <w:marRight w:val="0"/>
                                                                                      <w:marTop w:val="0"/>
                                                                                      <w:marBottom w:val="0"/>
                                                                                      <w:divBdr>
                                                                                        <w:top w:val="none" w:sz="0" w:space="0" w:color="auto"/>
                                                                                        <w:left w:val="none" w:sz="0" w:space="0" w:color="auto"/>
                                                                                        <w:bottom w:val="none" w:sz="0" w:space="0" w:color="auto"/>
                                                                                        <w:right w:val="none" w:sz="0" w:space="0" w:color="auto"/>
                                                                                      </w:divBdr>
                                                                                      <w:divsChild>
                                                                                        <w:div w:id="972516830">
                                                                                          <w:marLeft w:val="0"/>
                                                                                          <w:marRight w:val="0"/>
                                                                                          <w:marTop w:val="0"/>
                                                                                          <w:marBottom w:val="0"/>
                                                                                          <w:divBdr>
                                                                                            <w:top w:val="none" w:sz="0" w:space="0" w:color="auto"/>
                                                                                            <w:left w:val="none" w:sz="0" w:space="0" w:color="auto"/>
                                                                                            <w:bottom w:val="none" w:sz="0" w:space="0" w:color="auto"/>
                                                                                            <w:right w:val="none" w:sz="0" w:space="0" w:color="auto"/>
                                                                                          </w:divBdr>
                                                                                          <w:divsChild>
                                                                                            <w:div w:id="1264412017">
                                                                                              <w:marLeft w:val="0"/>
                                                                                              <w:marRight w:val="0"/>
                                                                                              <w:marTop w:val="0"/>
                                                                                              <w:marBottom w:val="0"/>
                                                                                              <w:divBdr>
                                                                                                <w:top w:val="none" w:sz="0" w:space="0" w:color="auto"/>
                                                                                                <w:left w:val="none" w:sz="0" w:space="0" w:color="auto"/>
                                                                                                <w:bottom w:val="none" w:sz="0" w:space="0" w:color="auto"/>
                                                                                                <w:right w:val="none" w:sz="0" w:space="0" w:color="auto"/>
                                                                                              </w:divBdr>
                                                                                              <w:divsChild>
                                                                                                <w:div w:id="6754785">
                                                                                                  <w:marLeft w:val="0"/>
                                                                                                  <w:marRight w:val="0"/>
                                                                                                  <w:marTop w:val="0"/>
                                                                                                  <w:marBottom w:val="0"/>
                                                                                                  <w:divBdr>
                                                                                                    <w:top w:val="none" w:sz="0" w:space="0" w:color="auto"/>
                                                                                                    <w:left w:val="none" w:sz="0" w:space="0" w:color="auto"/>
                                                                                                    <w:bottom w:val="none" w:sz="0" w:space="0" w:color="auto"/>
                                                                                                    <w:right w:val="none" w:sz="0" w:space="0" w:color="auto"/>
                                                                                                  </w:divBdr>
                                                                                                </w:div>
                                                                                                <w:div w:id="54278437">
                                                                                                  <w:marLeft w:val="0"/>
                                                                                                  <w:marRight w:val="0"/>
                                                                                                  <w:marTop w:val="0"/>
                                                                                                  <w:marBottom w:val="0"/>
                                                                                                  <w:divBdr>
                                                                                                    <w:top w:val="none" w:sz="0" w:space="0" w:color="auto"/>
                                                                                                    <w:left w:val="none" w:sz="0" w:space="0" w:color="auto"/>
                                                                                                    <w:bottom w:val="none" w:sz="0" w:space="0" w:color="auto"/>
                                                                                                    <w:right w:val="none" w:sz="0" w:space="0" w:color="auto"/>
                                                                                                  </w:divBdr>
                                                                                                </w:div>
                                                                                                <w:div w:id="265038260">
                                                                                                  <w:marLeft w:val="0"/>
                                                                                                  <w:marRight w:val="0"/>
                                                                                                  <w:marTop w:val="0"/>
                                                                                                  <w:marBottom w:val="0"/>
                                                                                                  <w:divBdr>
                                                                                                    <w:top w:val="none" w:sz="0" w:space="0" w:color="auto"/>
                                                                                                    <w:left w:val="none" w:sz="0" w:space="0" w:color="auto"/>
                                                                                                    <w:bottom w:val="none" w:sz="0" w:space="0" w:color="auto"/>
                                                                                                    <w:right w:val="none" w:sz="0" w:space="0" w:color="auto"/>
                                                                                                  </w:divBdr>
                                                                                                </w:div>
                                                                                                <w:div w:id="350956942">
                                                                                                  <w:marLeft w:val="0"/>
                                                                                                  <w:marRight w:val="0"/>
                                                                                                  <w:marTop w:val="0"/>
                                                                                                  <w:marBottom w:val="0"/>
                                                                                                  <w:divBdr>
                                                                                                    <w:top w:val="none" w:sz="0" w:space="0" w:color="auto"/>
                                                                                                    <w:left w:val="none" w:sz="0" w:space="0" w:color="auto"/>
                                                                                                    <w:bottom w:val="none" w:sz="0" w:space="0" w:color="auto"/>
                                                                                                    <w:right w:val="none" w:sz="0" w:space="0" w:color="auto"/>
                                                                                                  </w:divBdr>
                                                                                                </w:div>
                                                                                                <w:div w:id="1132791864">
                                                                                                  <w:marLeft w:val="0"/>
                                                                                                  <w:marRight w:val="0"/>
                                                                                                  <w:marTop w:val="0"/>
                                                                                                  <w:marBottom w:val="0"/>
                                                                                                  <w:divBdr>
                                                                                                    <w:top w:val="none" w:sz="0" w:space="0" w:color="auto"/>
                                                                                                    <w:left w:val="none" w:sz="0" w:space="0" w:color="auto"/>
                                                                                                    <w:bottom w:val="none" w:sz="0" w:space="0" w:color="auto"/>
                                                                                                    <w:right w:val="none" w:sz="0" w:space="0" w:color="auto"/>
                                                                                                  </w:divBdr>
                                                                                                </w:div>
                                                                                                <w:div w:id="1477916760">
                                                                                                  <w:marLeft w:val="0"/>
                                                                                                  <w:marRight w:val="0"/>
                                                                                                  <w:marTop w:val="0"/>
                                                                                                  <w:marBottom w:val="0"/>
                                                                                                  <w:divBdr>
                                                                                                    <w:top w:val="none" w:sz="0" w:space="0" w:color="auto"/>
                                                                                                    <w:left w:val="none" w:sz="0" w:space="0" w:color="auto"/>
                                                                                                    <w:bottom w:val="none" w:sz="0" w:space="0" w:color="auto"/>
                                                                                                    <w:right w:val="none" w:sz="0" w:space="0" w:color="auto"/>
                                                                                                  </w:divBdr>
                                                                                                </w:div>
                                                                                                <w:div w:id="1741974582">
                                                                                                  <w:marLeft w:val="0"/>
                                                                                                  <w:marRight w:val="0"/>
                                                                                                  <w:marTop w:val="0"/>
                                                                                                  <w:marBottom w:val="0"/>
                                                                                                  <w:divBdr>
                                                                                                    <w:top w:val="none" w:sz="0" w:space="0" w:color="auto"/>
                                                                                                    <w:left w:val="none" w:sz="0" w:space="0" w:color="auto"/>
                                                                                                    <w:bottom w:val="none" w:sz="0" w:space="0" w:color="auto"/>
                                                                                                    <w:right w:val="none" w:sz="0" w:space="0" w:color="auto"/>
                                                                                                  </w:divBdr>
                                                                                                </w:div>
                                                                                                <w:div w:id="193851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7729720">
      <w:bodyDiv w:val="1"/>
      <w:marLeft w:val="0"/>
      <w:marRight w:val="0"/>
      <w:marTop w:val="0"/>
      <w:marBottom w:val="0"/>
      <w:divBdr>
        <w:top w:val="none" w:sz="0" w:space="0" w:color="auto"/>
        <w:left w:val="none" w:sz="0" w:space="0" w:color="auto"/>
        <w:bottom w:val="none" w:sz="0" w:space="0" w:color="auto"/>
        <w:right w:val="none" w:sz="0" w:space="0" w:color="auto"/>
      </w:divBdr>
    </w:div>
    <w:div w:id="2074692773">
      <w:bodyDiv w:val="1"/>
      <w:marLeft w:val="0"/>
      <w:marRight w:val="0"/>
      <w:marTop w:val="0"/>
      <w:marBottom w:val="0"/>
      <w:divBdr>
        <w:top w:val="none" w:sz="0" w:space="0" w:color="auto"/>
        <w:left w:val="none" w:sz="0" w:space="0" w:color="auto"/>
        <w:bottom w:val="none" w:sz="0" w:space="0" w:color="auto"/>
        <w:right w:val="none" w:sz="0" w:space="0" w:color="auto"/>
      </w:divBdr>
    </w:div>
    <w:div w:id="2076195972">
      <w:bodyDiv w:val="1"/>
      <w:marLeft w:val="0"/>
      <w:marRight w:val="0"/>
      <w:marTop w:val="0"/>
      <w:marBottom w:val="0"/>
      <w:divBdr>
        <w:top w:val="none" w:sz="0" w:space="0" w:color="auto"/>
        <w:left w:val="none" w:sz="0" w:space="0" w:color="auto"/>
        <w:bottom w:val="none" w:sz="0" w:space="0" w:color="auto"/>
        <w:right w:val="none" w:sz="0" w:space="0" w:color="auto"/>
      </w:divBdr>
    </w:div>
    <w:div w:id="2080787705">
      <w:bodyDiv w:val="1"/>
      <w:marLeft w:val="0"/>
      <w:marRight w:val="0"/>
      <w:marTop w:val="0"/>
      <w:marBottom w:val="0"/>
      <w:divBdr>
        <w:top w:val="none" w:sz="0" w:space="0" w:color="auto"/>
        <w:left w:val="none" w:sz="0" w:space="0" w:color="auto"/>
        <w:bottom w:val="none" w:sz="0" w:space="0" w:color="auto"/>
        <w:right w:val="none" w:sz="0" w:space="0" w:color="auto"/>
      </w:divBdr>
    </w:div>
    <w:div w:id="2081830154">
      <w:bodyDiv w:val="1"/>
      <w:marLeft w:val="0"/>
      <w:marRight w:val="0"/>
      <w:marTop w:val="0"/>
      <w:marBottom w:val="0"/>
      <w:divBdr>
        <w:top w:val="none" w:sz="0" w:space="0" w:color="auto"/>
        <w:left w:val="none" w:sz="0" w:space="0" w:color="auto"/>
        <w:bottom w:val="none" w:sz="0" w:space="0" w:color="auto"/>
        <w:right w:val="none" w:sz="0" w:space="0" w:color="auto"/>
      </w:divBdr>
    </w:div>
    <w:div w:id="2090076763">
      <w:bodyDiv w:val="1"/>
      <w:marLeft w:val="0"/>
      <w:marRight w:val="0"/>
      <w:marTop w:val="0"/>
      <w:marBottom w:val="0"/>
      <w:divBdr>
        <w:top w:val="none" w:sz="0" w:space="0" w:color="auto"/>
        <w:left w:val="none" w:sz="0" w:space="0" w:color="auto"/>
        <w:bottom w:val="none" w:sz="0" w:space="0" w:color="auto"/>
        <w:right w:val="none" w:sz="0" w:space="0" w:color="auto"/>
      </w:divBdr>
    </w:div>
    <w:div w:id="2107725559">
      <w:bodyDiv w:val="1"/>
      <w:marLeft w:val="0"/>
      <w:marRight w:val="0"/>
      <w:marTop w:val="0"/>
      <w:marBottom w:val="0"/>
      <w:divBdr>
        <w:top w:val="none" w:sz="0" w:space="0" w:color="auto"/>
        <w:left w:val="none" w:sz="0" w:space="0" w:color="auto"/>
        <w:bottom w:val="none" w:sz="0" w:space="0" w:color="auto"/>
        <w:right w:val="none" w:sz="0" w:space="0" w:color="auto"/>
      </w:divBdr>
    </w:div>
    <w:div w:id="2119324128">
      <w:bodyDiv w:val="1"/>
      <w:marLeft w:val="0"/>
      <w:marRight w:val="0"/>
      <w:marTop w:val="0"/>
      <w:marBottom w:val="0"/>
      <w:divBdr>
        <w:top w:val="none" w:sz="0" w:space="0" w:color="auto"/>
        <w:left w:val="none" w:sz="0" w:space="0" w:color="auto"/>
        <w:bottom w:val="none" w:sz="0" w:space="0" w:color="auto"/>
        <w:right w:val="none" w:sz="0" w:space="0" w:color="auto"/>
      </w:divBdr>
    </w:div>
    <w:div w:id="2120298180">
      <w:bodyDiv w:val="1"/>
      <w:marLeft w:val="0"/>
      <w:marRight w:val="0"/>
      <w:marTop w:val="0"/>
      <w:marBottom w:val="0"/>
      <w:divBdr>
        <w:top w:val="none" w:sz="0" w:space="0" w:color="auto"/>
        <w:left w:val="none" w:sz="0" w:space="0" w:color="auto"/>
        <w:bottom w:val="none" w:sz="0" w:space="0" w:color="auto"/>
        <w:right w:val="none" w:sz="0" w:space="0" w:color="auto"/>
      </w:divBdr>
    </w:div>
    <w:div w:id="2126923507">
      <w:bodyDiv w:val="1"/>
      <w:marLeft w:val="0"/>
      <w:marRight w:val="0"/>
      <w:marTop w:val="0"/>
      <w:marBottom w:val="0"/>
      <w:divBdr>
        <w:top w:val="none" w:sz="0" w:space="0" w:color="auto"/>
        <w:left w:val="none" w:sz="0" w:space="0" w:color="auto"/>
        <w:bottom w:val="none" w:sz="0" w:space="0" w:color="auto"/>
        <w:right w:val="none" w:sz="0" w:space="0" w:color="auto"/>
      </w:divBdr>
    </w:div>
    <w:div w:id="2132042931">
      <w:bodyDiv w:val="1"/>
      <w:marLeft w:val="0"/>
      <w:marRight w:val="0"/>
      <w:marTop w:val="0"/>
      <w:marBottom w:val="0"/>
      <w:divBdr>
        <w:top w:val="none" w:sz="0" w:space="0" w:color="auto"/>
        <w:left w:val="none" w:sz="0" w:space="0" w:color="auto"/>
        <w:bottom w:val="none" w:sz="0" w:space="0" w:color="auto"/>
        <w:right w:val="none" w:sz="0" w:space="0" w:color="auto"/>
      </w:divBdr>
    </w:div>
    <w:div w:id="213393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hyperlink" Target="https://www.hra.nhs.uk/planning-and-improving-research/policies-standards-legislation/data-protection-and-information-governance/gdpr-detailed-guidance/" TargetMode="External"/><Relationship Id="rId39" Type="http://schemas.openxmlformats.org/officeDocument/2006/relationships/hyperlink" Target="http://www.legislation.gov.uk/id/nia/2009/1" TargetMode="External"/><Relationship Id="rId21" Type="http://schemas.openxmlformats.org/officeDocument/2006/relationships/hyperlink" Target="https://digital.nhs.uk/services/national-data-opt-out-programme" TargetMode="External"/><Relationship Id="rId34" Type="http://schemas.openxmlformats.org/officeDocument/2006/relationships/hyperlink" Target="http://www.legislation.gov.uk/id/nisi/1976/1213" TargetMode="External"/><Relationship Id="rId42" Type="http://schemas.openxmlformats.org/officeDocument/2006/relationships/header" Target="header4.xml"/><Relationship Id="rId47" Type="http://schemas.openxmlformats.org/officeDocument/2006/relationships/hyperlink" Target="https://gdpr-info.eu/art-14-gdpr/" TargetMode="External"/><Relationship Id="rId50" Type="http://schemas.openxmlformats.org/officeDocument/2006/relationships/hyperlink" Target="https://www.england.nhs.uk/publication/2018-19-addendum-to-the-gp-it-operating-model-securing-excellence-in-gp-it-services-2016-18-revisions/" TargetMode="External"/><Relationship Id="rId55" Type="http://schemas.openxmlformats.org/officeDocument/2006/relationships/hyperlink" Target="https://assets.publishing.service.gov.uk/government/uploads/system/uploads/attachment_data/file/170649/Handbook_to_the_NHS_Constitution.pdf" TargetMode="External"/><Relationship Id="rId63" Type="http://schemas.openxmlformats.org/officeDocument/2006/relationships/hyperlink" Target="http://nhs.uk/your-nhs-data-matters"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nhs.uk/your-nhs-data-matters" TargetMode="External"/><Relationship Id="rId29" Type="http://schemas.openxmlformats.org/officeDocument/2006/relationships/hyperlink" Target="https://www.connectedhealthcities.org/community/glossary-data-use/" TargetMode="External"/><Relationship Id="rId41" Type="http://schemas.openxmlformats.org/officeDocument/2006/relationships/hyperlink" Target="http://www.legislation.gov.uk/id/nisi/1991/194" TargetMode="External"/><Relationship Id="rId54" Type="http://schemas.openxmlformats.org/officeDocument/2006/relationships/hyperlink" Target="https://www.england.nhs.uk/wp-content/uploads/2018/02/lessons-learned-review-wannacry-ransomware-cyber-attack-cio-review.pdf" TargetMode="External"/><Relationship Id="rId62" Type="http://schemas.openxmlformats.org/officeDocument/2006/relationships/hyperlink" Target="http://nhs.uk/your-nhs-data-matt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hra.nhs.uk/approvals-amendments/what-approvals-do-i-need/" TargetMode="External"/><Relationship Id="rId32" Type="http://schemas.openxmlformats.org/officeDocument/2006/relationships/hyperlink" Target="http://www.legislation.gov.uk/id/uksi/2002/254" TargetMode="External"/><Relationship Id="rId37" Type="http://schemas.openxmlformats.org/officeDocument/2006/relationships/hyperlink" Target="http://www.legislation.gov.uk/id/asp/2001/8" TargetMode="External"/><Relationship Id="rId40" Type="http://schemas.openxmlformats.org/officeDocument/2006/relationships/hyperlink" Target="http://www.legislation.gov.uk/id/nisi/1990/247" TargetMode="External"/><Relationship Id="rId45" Type="http://schemas.openxmlformats.org/officeDocument/2006/relationships/hyperlink" Target="https://gdpr-info.eu/art-89-gdpr/" TargetMode="External"/><Relationship Id="rId53" Type="http://schemas.openxmlformats.org/officeDocument/2006/relationships/hyperlink" Target="https://www.gov.uk/government/uploads/system/uploads/attachment_data/file/706613/network-and-information-systems-regulations-2018-health-sector-guide.pdf" TargetMode="External"/><Relationship Id="rId58" Type="http://schemas.openxmlformats.org/officeDocument/2006/relationships/hyperlink" Target="https://ico.org.uk/for-organisations/guide-to-data-protection/guide-to-the-general-data-protection-regulation-gdpr/personal-data-breaches/"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www.hra.nhs.uk/planning-and-improving-research/policies-standards-legislation/uk-policy-framework-health-social-care-research/" TargetMode="External"/><Relationship Id="rId28" Type="http://schemas.openxmlformats.org/officeDocument/2006/relationships/hyperlink" Target="https://digital.nhs.uk/services/solution-assurance/the-clinical-safety-team" TargetMode="External"/><Relationship Id="rId36" Type="http://schemas.openxmlformats.org/officeDocument/2006/relationships/hyperlink" Target="http://www.legislation.gov.uk/id/anaw/2016/2" TargetMode="External"/><Relationship Id="rId49" Type="http://schemas.openxmlformats.org/officeDocument/2006/relationships/hyperlink" Target="https://assets.publishing.service.gov.uk/government/uploads/system/uploads/attachment_data/file/675420/17-18_statement_of_requirements_Branded_template_final_22_11_18-1.pdf" TargetMode="External"/><Relationship Id="rId57" Type="http://schemas.openxmlformats.org/officeDocument/2006/relationships/hyperlink" Target="https://ico.org.uk/for-organisations/guide-to-pecr/communications-networks-and-services/security-breaches/" TargetMode="External"/><Relationship Id="rId61" Type="http://schemas.openxmlformats.org/officeDocument/2006/relationships/hyperlink" Target="https://digital.nhs.uk/services/summary-care-records-scr/summary-care-records-scr-information-for-patients"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hyperlink" Target="https://gdpr-info.eu/art-9-gdpr/" TargetMode="External"/><Relationship Id="rId44" Type="http://schemas.openxmlformats.org/officeDocument/2006/relationships/hyperlink" Target="http://eur-lex.europa.eu/legal-content/EN/TXT/HTML/?uri=CELEX:32002L0058" TargetMode="External"/><Relationship Id="rId52" Type="http://schemas.openxmlformats.org/officeDocument/2006/relationships/hyperlink" Target="https://www.england.nhs.uk/wp-content/uploads/2017/04/17-18-gms-digital-guidance.pdf" TargetMode="External"/><Relationship Id="rId60" Type="http://schemas.openxmlformats.org/officeDocument/2006/relationships/hyperlink" Target="https://webarchive.nationalarchives.gov.uk/20180328130852tf_/http:/content.digital.nhs.uk/media/12823/Confidentiality-guide-References/pdf/confidentiality-guide-references.pdf/"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cid:image002.png@01D4D8D2.62F37080" TargetMode="External"/><Relationship Id="rId22" Type="http://schemas.openxmlformats.org/officeDocument/2006/relationships/image" Target="media/image4.png"/><Relationship Id="rId27" Type="http://schemas.openxmlformats.org/officeDocument/2006/relationships/hyperlink" Target="https://www.hra.nhs.uk/approvals-amendments/what-approvals-do-i-need/confidentiality-advisory-group/" TargetMode="External"/><Relationship Id="rId30" Type="http://schemas.openxmlformats.org/officeDocument/2006/relationships/hyperlink" Target="http://www.legislation.gov.uk/ukpga/2015/28/pdfs/ukpga_20150028_en.pdf" TargetMode="External"/><Relationship Id="rId35" Type="http://schemas.openxmlformats.org/officeDocument/2006/relationships/hyperlink" Target="http://www.legislation.gov.uk/id/uksi/2002/254" TargetMode="External"/><Relationship Id="rId43" Type="http://schemas.openxmlformats.org/officeDocument/2006/relationships/hyperlink" Target="https://gdpr-info.eu/art-6-gdpr/" TargetMode="External"/><Relationship Id="rId48" Type="http://schemas.openxmlformats.org/officeDocument/2006/relationships/hyperlink" Target="https://ico.org.uk/for-organisations/guide-to-data-protection/guide-to-the-general-data-protection-regulation-gdpr/key-definitions/controllers-and-processors/" TargetMode="External"/><Relationship Id="rId56" Type="http://schemas.openxmlformats.org/officeDocument/2006/relationships/hyperlink" Target="https://assets.publishing.service.gov.uk/government/uploads/system/uploads/attachment_data/file/480482/NHS_Constitution_WEB.pdf" TargetMode="External"/><Relationship Id="rId64"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gov.uk/government/uploads/system/uploads/attachment_data/file/627493/Your_data_better_security_better_choice_better_care_government_response.pdf" TargetMode="Externa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www.hra.nhs.uk/planning-and-improving-research/policies-standards-legislation/data-protection-and-information-governance/gdpr-guidance/" TargetMode="External"/><Relationship Id="rId33" Type="http://schemas.openxmlformats.org/officeDocument/2006/relationships/hyperlink" Target="http://www.legislation.gov.uk/id/uksi/2010/231" TargetMode="External"/><Relationship Id="rId38" Type="http://schemas.openxmlformats.org/officeDocument/2006/relationships/hyperlink" Target="http://www.legislation.gov.uk/id/nia/2009/1" TargetMode="External"/><Relationship Id="rId46" Type="http://schemas.openxmlformats.org/officeDocument/2006/relationships/hyperlink" Target="https://gdpr-info.eu/art-13-gdpr/" TargetMode="External"/><Relationship Id="rId59" Type="http://schemas.openxmlformats.org/officeDocument/2006/relationships/hyperlink" Target="http://www.legislation.gov.uk/ukpga/2018/12/section/204/enacted"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digital.nhs.uk/data-and-information/looking-after-information/data-security-and-information-governance/information-governance-alliance-iga/general-data-protection-regulation-gdpr-guidance" TargetMode="External"/><Relationship Id="rId3" Type="http://schemas.openxmlformats.org/officeDocument/2006/relationships/hyperlink" Target="https://digital.nhs.uk/data-and-information/looking-after-information/data-security-and-information-governance/information-governance-alliance-iga/general-data-protection-regulation-gdpr-guidance" TargetMode="External"/><Relationship Id="rId7" Type="http://schemas.openxmlformats.org/officeDocument/2006/relationships/hyperlink" Target="https://www.hra.nhs.uk/about-us/committees-and-services/confidentiality-advisory-group/" TargetMode="External"/><Relationship Id="rId12" Type="http://schemas.openxmlformats.org/officeDocument/2006/relationships/hyperlink" Target="https://assets.publishing.service.gov.uk/government/uploads/system/uploads/attachment_data/file/192572/2900774_InfoGovernance_accv2.pdf" TargetMode="External"/><Relationship Id="rId2" Type="http://schemas.openxmlformats.org/officeDocument/2006/relationships/hyperlink" Target="https://assets.publishing.service.gov.uk/government/uploads/system/uploads/attachment_data/file/535024/data-security-review.PDF" TargetMode="External"/><Relationship Id="rId1" Type="http://schemas.openxmlformats.org/officeDocument/2006/relationships/hyperlink" Target="https://www.england.nhs.uk/wp-content/uploads/2018/05/local-health-and-care-record-exemplars-summary.pdf" TargetMode="External"/><Relationship Id="rId6" Type="http://schemas.openxmlformats.org/officeDocument/2006/relationships/hyperlink" Target="https://ico.org.uk/media/for-organisations/documents/1068/data_sharing_code_of_practice.pdf" TargetMode="External"/><Relationship Id="rId11" Type="http://schemas.openxmlformats.org/officeDocument/2006/relationships/hyperlink" Target="https://www.dsptoolkit.nhs.uk/(X(1)S(5aqfcbbwqnobxiuykxwjez3s))/Help/Attachment/148" TargetMode="External"/><Relationship Id="rId5" Type="http://schemas.openxmlformats.org/officeDocument/2006/relationships/hyperlink" Target="https://ico.org.uk/for-organisations/guide-to-data-protection/guide-to-the-general-data-protection-regulation-gdpr/key-definitions/controllers-and-processors/" TargetMode="External"/><Relationship Id="rId10" Type="http://schemas.openxmlformats.org/officeDocument/2006/relationships/hyperlink" Target="https://www.england.nhs.uk/nhs-standard-contract/2017-19-update-may/" TargetMode="External"/><Relationship Id="rId4" Type="http://schemas.openxmlformats.org/officeDocument/2006/relationships/hyperlink" Target="https://ico.org.uk/for-organisations/guide-to-data-protection/guide-to-the-general-data-protection-regulation-gdpr/children-and-the-gdpr/" TargetMode="External"/><Relationship Id="rId9" Type="http://schemas.openxmlformats.org/officeDocument/2006/relationships/hyperlink" Target="https://digital.nhs.uk/data-and-information/looking-after-information/data-security-and-information-governance/information-governance-alliance-iga/general-data-protection-regulation-gdpr-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2019-01-31T00:00:00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escription0 xmlns="d681e3e5-3112-4cd1-ba0a-1d7516f1cb2e" xsi:nil="true"/>
    <Notes0 xmlns="d681e3e5-3112-4cd1-ba0a-1d7516f1cb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88D0358201234AAE2C247D7BC419EE" ma:contentTypeVersion="14" ma:contentTypeDescription="Create a new document." ma:contentTypeScope="" ma:versionID="9a5fb225dd3b8d8c36571aa115db04ed">
  <xsd:schema xmlns:xsd="http://www.w3.org/2001/XMLSchema" xmlns:xs="http://www.w3.org/2001/XMLSchema" xmlns:p="http://schemas.microsoft.com/office/2006/metadata/properties" xmlns:ns1="http://schemas.microsoft.com/sharepoint/v3" xmlns:ns2="0ee825ac-40c4-4d51-be1d-f0a072e306dc" xmlns:ns3="d681e3e5-3112-4cd1-ba0a-1d7516f1cb2e" targetNamespace="http://schemas.microsoft.com/office/2006/metadata/properties" ma:root="true" ma:fieldsID="c6b532a73648a8e9fe9e7a25a22c7f2a" ns1:_="" ns2:_="" ns3:_="">
    <xsd:import namespace="http://schemas.microsoft.com/sharepoint/v3"/>
    <xsd:import namespace="0ee825ac-40c4-4d51-be1d-f0a072e306dc"/>
    <xsd:import namespace="d681e3e5-3112-4cd1-ba0a-1d7516f1cb2e"/>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Notes0" minOccurs="0"/>
                <xsd:element ref="ns3:MediaServiceAutoTags" minOccurs="0"/>
                <xsd:element ref="ns3:MediaServiceOCR" minOccurs="0"/>
                <xsd:element ref="ns3:MediaServiceDateTaken" minOccurs="0"/>
                <xsd:element ref="ns3:Description0" minOccurs="0"/>
                <xsd:element ref="ns3:MediaServiceEventHashCode" minOccurs="0"/>
                <xsd:element ref="ns3:MediaServiceGenerationTim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description="" ma:hidden="true" ma:internalName="_ip_UnifiedCompliancePolicyProperties">
      <xsd:simpleType>
        <xsd:restriction base="dms:Note"/>
      </xsd:simpleType>
    </xsd:element>
    <xsd:element name="_ip_UnifiedCompliancePolicyUIAction" ma:index="11"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e825ac-40c4-4d51-be1d-f0a072e306d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81e3e5-3112-4cd1-ba0a-1d7516f1cb2e"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Notes0" ma:index="14" nillable="true" ma:displayName="Notes" ma:internalName="Notes0">
      <xsd:simpleType>
        <xsd:restriction base="dms:Note">
          <xsd:maxLength value="255"/>
        </xsd:restriction>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Description0" ma:index="18" nillable="true" ma:displayName="Description" ma:description="Description of the presentation" ma:internalName="Description0">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846E012-DD6E-4ADE-B5CD-2F509B843AF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ee825ac-40c4-4d51-be1d-f0a072e306dc"/>
    <ds:schemaRef ds:uri="http://schemas.microsoft.com/sharepoint/v3"/>
    <ds:schemaRef ds:uri="http://purl.org/dc/terms/"/>
    <ds:schemaRef ds:uri="d681e3e5-3112-4cd1-ba0a-1d7516f1cb2e"/>
    <ds:schemaRef ds:uri="http://www.w3.org/XML/1998/namespace"/>
    <ds:schemaRef ds:uri="http://purl.org/dc/dcmitype/"/>
  </ds:schemaRefs>
</ds:datastoreItem>
</file>

<file path=customXml/itemProps3.xml><?xml version="1.0" encoding="utf-8"?>
<ds:datastoreItem xmlns:ds="http://schemas.openxmlformats.org/officeDocument/2006/customXml" ds:itemID="{2F07E103-C851-4D4F-A23B-0D71D55BE8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e825ac-40c4-4d51-be1d-f0a072e306dc"/>
    <ds:schemaRef ds:uri="d681e3e5-3112-4cd1-ba0a-1d7516f1c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D2BBC5-4486-4C2A-9ABC-25F24167582B}">
  <ds:schemaRefs>
    <ds:schemaRef ds:uri="http://schemas.microsoft.com/sharepoint/v3/contenttype/forms"/>
  </ds:schemaRefs>
</ds:datastoreItem>
</file>

<file path=customXml/itemProps5.xml><?xml version="1.0" encoding="utf-8"?>
<ds:datastoreItem xmlns:ds="http://schemas.openxmlformats.org/officeDocument/2006/customXml" ds:itemID="{677D47CA-9180-4218-BDD1-D9D926776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24621</Words>
  <Characters>140342</Characters>
  <Application>Microsoft Office Word</Application>
  <DocSecurity>0</DocSecurity>
  <Lines>1169</Lines>
  <Paragraphs>329</Paragraphs>
  <ScaleCrop>false</ScaleCrop>
  <HeadingPairs>
    <vt:vector size="2" baseType="variant">
      <vt:variant>
        <vt:lpstr>Title</vt:lpstr>
      </vt:variant>
      <vt:variant>
        <vt:i4>1</vt:i4>
      </vt:variant>
    </vt:vector>
  </HeadingPairs>
  <TitlesOfParts>
    <vt:vector size="1" baseType="lpstr">
      <vt:lpstr/>
    </vt:vector>
  </TitlesOfParts>
  <Company>Deloitte Touche Tohmatsu Services, Inc</Company>
  <LinksUpToDate>false</LinksUpToDate>
  <CharactersWithSpaces>164634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Ledward, James (UK - London)</dc:creator>
  <cp:keywords/>
  <dc:description/>
  <cp:lastModifiedBy>Clare Pettit-Gardner</cp:lastModifiedBy>
  <cp:revision>2</cp:revision>
  <cp:lastPrinted>2018-11-30T06:16:00Z</cp:lastPrinted>
  <dcterms:created xsi:type="dcterms:W3CDTF">2019-05-31T18:24:00Z</dcterms:created>
  <dcterms:modified xsi:type="dcterms:W3CDTF">2019-05-31T18:24:00Z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en-GB</vt:lpwstr>
  </property>
  <property fmtid="{D5CDD505-2E9C-101B-9397-08002B2CF9AE}" pid="3" name="ContentTypeId">
    <vt:lpwstr>0x010100B388D0358201234AAE2C247D7BC419EE</vt:lpwstr>
  </property>
  <property fmtid="{D5CDD505-2E9C-101B-9397-08002B2CF9AE}" pid="4" name="_dlc_DocIdItemGuid">
    <vt:lpwstr>8a6abe16-e299-4614-9152-1279265cfb5e</vt:lpwstr>
  </property>
  <property fmtid="{D5CDD505-2E9C-101B-9397-08002B2CF9AE}" pid="5" name="AuthorIds_UIVersion_512">
    <vt:lpwstr>154</vt:lpwstr>
  </property>
</Properties>
</file>